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1CF16">
      <w:pPr>
        <w:tabs>
          <w:tab w:val="right" w:pos="10440"/>
          <w:tab w:val="right" w:pos="13323"/>
        </w:tabs>
        <w:spacing w:after="0"/>
        <w:rPr>
          <w:rFonts w:ascii="Arial" w:hAnsi="Arial" w:eastAsia="宋体" w:cs="Arial"/>
          <w:b/>
          <w:sz w:val="24"/>
          <w:szCs w:val="24"/>
          <w:lang w:val="en-US" w:eastAsia="zh-CN"/>
        </w:rPr>
      </w:pPr>
      <w:r>
        <w:rPr>
          <w:rFonts w:ascii="Arial" w:hAnsi="Arial" w:eastAsia="MS Mincho" w:cs="Arial"/>
          <w:b/>
          <w:sz w:val="24"/>
          <w:szCs w:val="24"/>
        </w:rPr>
        <w:t>3GPP</w:t>
      </w:r>
      <w:r>
        <w:rPr>
          <w:rFonts w:hint="eastAsia" w:ascii="Arial" w:hAnsi="Arial" w:eastAsia="宋体" w:cs="Arial"/>
          <w:b/>
          <w:sz w:val="24"/>
          <w:szCs w:val="24"/>
          <w:lang w:val="en-US" w:eastAsia="zh-CN"/>
        </w:rPr>
        <w:t xml:space="preserve"> </w:t>
      </w:r>
      <w:r>
        <w:rPr>
          <w:rFonts w:ascii="Arial" w:hAnsi="Arial" w:eastAsia="MS Mincho" w:cs="Arial"/>
          <w:b/>
          <w:sz w:val="24"/>
          <w:szCs w:val="24"/>
        </w:rPr>
        <w:t>TSG-RAN WG4 Meeting #</w:t>
      </w:r>
      <w:r>
        <w:rPr>
          <w:rFonts w:hint="eastAsia" w:ascii="Arial" w:hAnsi="Arial" w:eastAsia="宋体" w:cs="Arial"/>
          <w:b/>
          <w:sz w:val="24"/>
          <w:szCs w:val="24"/>
          <w:lang w:val="en-US" w:eastAsia="zh-CN"/>
        </w:rPr>
        <w:t>115</w:t>
      </w:r>
      <w:r>
        <w:rPr>
          <w:rFonts w:ascii="Arial" w:hAnsi="Arial" w:eastAsia="MS Mincho" w:cs="Arial"/>
          <w:b/>
          <w:sz w:val="24"/>
          <w:szCs w:val="24"/>
        </w:rPr>
        <w:tab/>
      </w:r>
      <w:r>
        <w:rPr>
          <w:rFonts w:ascii="Arial" w:hAnsi="Arial" w:eastAsia="MS Mincho" w:cs="Arial"/>
          <w:b/>
          <w:sz w:val="24"/>
          <w:szCs w:val="24"/>
        </w:rPr>
        <w:t>R4-2</w:t>
      </w:r>
      <w:r>
        <w:rPr>
          <w:rFonts w:hint="eastAsia" w:ascii="Arial" w:hAnsi="Arial" w:eastAsia="宋体" w:cs="Arial"/>
          <w:b/>
          <w:sz w:val="24"/>
          <w:szCs w:val="24"/>
          <w:lang w:val="en-US" w:eastAsia="zh-CN"/>
        </w:rPr>
        <w:t>508263</w:t>
      </w:r>
    </w:p>
    <w:p w14:paraId="019252C4">
      <w:pPr>
        <w:pStyle w:val="36"/>
        <w:tabs>
          <w:tab w:val="right" w:pos="9781"/>
          <w:tab w:val="right" w:pos="13323"/>
        </w:tabs>
        <w:spacing w:before="60" w:after="60"/>
        <w:outlineLvl w:val="0"/>
        <w:rPr>
          <w:rFonts w:eastAsia="宋体" w:cs="Arial"/>
          <w:sz w:val="24"/>
          <w:szCs w:val="24"/>
          <w:highlight w:val="green"/>
          <w:lang w:eastAsia="zh-CN"/>
        </w:rPr>
      </w:pPr>
      <w:r>
        <w:rPr>
          <w:rFonts w:hint="eastAsia" w:eastAsia="宋体" w:cs="Arial"/>
          <w:sz w:val="24"/>
          <w:szCs w:val="24"/>
          <w:lang w:eastAsia="zh-CN"/>
        </w:rPr>
        <w:t>Malta, MT</w:t>
      </w:r>
      <w:r>
        <w:rPr>
          <w:rFonts w:hint="eastAsia" w:eastAsia="宋体" w:cs="Arial"/>
          <w:sz w:val="24"/>
          <w:szCs w:val="24"/>
          <w:lang w:val="en-US" w:eastAsia="zh-CN"/>
        </w:rPr>
        <w:t>,</w:t>
      </w:r>
      <w:r>
        <w:rPr>
          <w:rFonts w:hint="eastAsia" w:eastAsia="宋体" w:cs="Arial"/>
          <w:sz w:val="24"/>
          <w:szCs w:val="24"/>
          <w:lang w:eastAsia="zh-CN"/>
        </w:rPr>
        <w:t xml:space="preserve"> 1</w:t>
      </w:r>
      <w:r>
        <w:rPr>
          <w:rFonts w:hint="eastAsia" w:eastAsia="宋体" w:cs="Arial"/>
          <w:sz w:val="24"/>
          <w:szCs w:val="24"/>
          <w:lang w:val="en-US" w:eastAsia="zh-CN"/>
        </w:rPr>
        <w:t>9</w:t>
      </w:r>
      <w:r>
        <w:rPr>
          <w:rFonts w:hint="eastAsia" w:eastAsia="宋体" w:cs="Arial"/>
          <w:sz w:val="24"/>
          <w:szCs w:val="24"/>
          <w:vertAlign w:val="superscript"/>
          <w:lang w:eastAsia="zh-CN"/>
        </w:rPr>
        <w:t>th</w:t>
      </w:r>
      <w:r>
        <w:rPr>
          <w:rFonts w:hint="eastAsia" w:eastAsia="宋体" w:cs="Arial"/>
          <w:sz w:val="24"/>
          <w:szCs w:val="24"/>
          <w:lang w:eastAsia="zh-CN"/>
        </w:rPr>
        <w:t xml:space="preserve"> </w:t>
      </w:r>
      <w:r>
        <w:rPr>
          <w:rFonts w:hint="eastAsia" w:eastAsia="宋体" w:cs="Arial"/>
          <w:sz w:val="24"/>
          <w:szCs w:val="24"/>
          <w:lang w:val="en-US" w:eastAsia="zh-CN"/>
        </w:rPr>
        <w:t>-</w:t>
      </w:r>
      <w:r>
        <w:rPr>
          <w:rFonts w:hint="eastAsia" w:eastAsia="宋体" w:cs="Arial"/>
          <w:sz w:val="24"/>
          <w:szCs w:val="24"/>
          <w:lang w:eastAsia="zh-CN"/>
        </w:rPr>
        <w:t xml:space="preserve"> 2</w:t>
      </w:r>
      <w:r>
        <w:rPr>
          <w:rFonts w:hint="eastAsia" w:eastAsia="宋体" w:cs="Arial"/>
          <w:sz w:val="24"/>
          <w:szCs w:val="24"/>
          <w:lang w:val="en-US" w:eastAsia="zh-CN"/>
        </w:rPr>
        <w:t>3</w:t>
      </w:r>
      <w:r>
        <w:rPr>
          <w:rFonts w:hint="eastAsia" w:eastAsia="宋体" w:cs="Arial"/>
          <w:sz w:val="24"/>
          <w:szCs w:val="24"/>
          <w:vertAlign w:val="superscript"/>
          <w:lang w:val="en-US" w:eastAsia="zh-CN"/>
        </w:rPr>
        <w:t>rd</w:t>
      </w:r>
      <w:r>
        <w:rPr>
          <w:rFonts w:hint="eastAsia" w:eastAsia="宋体" w:cs="Arial"/>
          <w:sz w:val="24"/>
          <w:szCs w:val="24"/>
          <w:lang w:eastAsia="zh-CN"/>
        </w:rPr>
        <w:t xml:space="preserve"> </w:t>
      </w:r>
      <w:r>
        <w:rPr>
          <w:rFonts w:hint="eastAsia" w:eastAsia="宋体" w:cs="Arial"/>
          <w:sz w:val="24"/>
          <w:szCs w:val="24"/>
          <w:lang w:val="en-US" w:eastAsia="zh-CN"/>
        </w:rPr>
        <w:t>May</w:t>
      </w:r>
      <w:r>
        <w:rPr>
          <w:rFonts w:hint="eastAsia" w:eastAsia="宋体" w:cs="Arial"/>
          <w:sz w:val="24"/>
          <w:szCs w:val="24"/>
          <w:lang w:eastAsia="zh-CN"/>
        </w:rPr>
        <w:t>, 2025</w:t>
      </w:r>
    </w:p>
    <w:p w14:paraId="657DDF86">
      <w:pPr>
        <w:tabs>
          <w:tab w:val="right" w:pos="10440"/>
          <w:tab w:val="right" w:pos="13323"/>
        </w:tabs>
        <w:spacing w:after="240" w:afterLines="100"/>
        <w:rPr>
          <w:rFonts w:ascii="Arial" w:hAnsi="Arial" w:cs="Arial"/>
          <w:b/>
          <w:sz w:val="24"/>
          <w:szCs w:val="24"/>
          <w:lang w:val="en-US" w:eastAsia="zh-CN"/>
        </w:rPr>
      </w:pPr>
    </w:p>
    <w:p w14:paraId="28F50BF9">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Pr>
          <w:rFonts w:hint="eastAsia" w:ascii="Arial" w:hAnsi="Arial" w:cs="Arial"/>
          <w:sz w:val="22"/>
          <w:lang w:val="en-US" w:eastAsia="zh-CN"/>
        </w:rPr>
        <w:t>WF on RRM requirements for NR_ATG_enh</w:t>
      </w:r>
    </w:p>
    <w:p w14:paraId="5BD90ACD">
      <w:pPr>
        <w:tabs>
          <w:tab w:val="left" w:pos="1985"/>
        </w:tabs>
        <w:jc w:val="both"/>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sz w:val="22"/>
          <w:lang w:val="en-US" w:eastAsia="zh-CN"/>
        </w:rPr>
        <w:t>7.12.1</w:t>
      </w:r>
    </w:p>
    <w:p w14:paraId="30802EEB">
      <w:pPr>
        <w:tabs>
          <w:tab w:val="left" w:pos="1985"/>
        </w:tabs>
        <w:jc w:val="both"/>
        <w:rPr>
          <w:rFonts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eastAsiaTheme="minorEastAsia"/>
          <w:sz w:val="22"/>
          <w:lang w:val="en-US" w:eastAsia="zh-CN"/>
        </w:rPr>
        <w:t>CMCC</w:t>
      </w:r>
    </w:p>
    <w:p w14:paraId="4094BC0C">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24FEE790">
      <w:pPr>
        <w:pStyle w:val="2"/>
        <w:rPr>
          <w:rFonts w:eastAsia="宋体"/>
          <w:lang w:val="en-US" w:eastAsia="zh-CN"/>
        </w:rPr>
      </w:pPr>
      <w:r>
        <w:t xml:space="preserve">&lt;Topic </w:t>
      </w:r>
      <w:r>
        <w:rPr>
          <w:rFonts w:hint="eastAsia" w:eastAsia="宋体"/>
          <w:lang w:val="en-US" w:eastAsia="zh-CN"/>
        </w:rPr>
        <w:t>1</w:t>
      </w:r>
      <w:r>
        <w:t>&gt;</w:t>
      </w:r>
      <w:r>
        <w:rPr>
          <w:rFonts w:hint="eastAsia" w:eastAsia="宋体"/>
          <w:lang w:val="en-US" w:eastAsia="zh-CN"/>
        </w:rPr>
        <w:t xml:space="preserve"> RRM core requirement</w:t>
      </w:r>
    </w:p>
    <w:p w14:paraId="62063290">
      <w:pPr>
        <w:snapToGrid w:val="0"/>
        <w:spacing w:after="120"/>
        <w:rPr>
          <w:b/>
          <w:u w:val="single"/>
          <w:lang w:val="en-US" w:eastAsia="zh-CN"/>
        </w:rPr>
      </w:pPr>
      <w:r>
        <w:rPr>
          <w:b/>
          <w:u w:val="single"/>
          <w:lang w:val="en-US" w:eastAsia="zh-CN"/>
        </w:rPr>
        <w:t>Issue 1-1-</w:t>
      </w:r>
      <w:r>
        <w:rPr>
          <w:rFonts w:hint="eastAsia"/>
          <w:b/>
          <w:u w:val="single"/>
          <w:lang w:val="en-US" w:eastAsia="zh-CN"/>
        </w:rPr>
        <w:t>1</w:t>
      </w:r>
      <w:r>
        <w:rPr>
          <w:b/>
          <w:u w:val="single"/>
          <w:lang w:val="en-US" w:eastAsia="zh-CN"/>
        </w:rPr>
        <w:t>: UE Beam Type capability signaling</w:t>
      </w:r>
    </w:p>
    <w:p w14:paraId="22CEA172">
      <w:pPr>
        <w:snapToGrid w:val="0"/>
        <w:spacing w:after="120"/>
        <w:rPr>
          <w:b/>
          <w:sz w:val="21"/>
          <w:szCs w:val="21"/>
          <w:u w:val="single"/>
          <w:lang w:val="en-US" w:eastAsia="zh-CN"/>
        </w:rPr>
      </w:pPr>
      <w:r>
        <w:rPr>
          <w:b/>
          <w:sz w:val="21"/>
          <w:szCs w:val="21"/>
          <w:u w:val="single"/>
          <w:lang w:val="en-US" w:eastAsia="zh-CN"/>
        </w:rPr>
        <w:t>Issue 1-1-1-1: The Report granularity of UE capability</w:t>
      </w:r>
    </w:p>
    <w:p w14:paraId="6C1451CD">
      <w:pPr>
        <w:overflowPunct/>
        <w:autoSpaceDE/>
        <w:autoSpaceDN/>
        <w:adjustRightInd/>
        <w:snapToGrid w:val="0"/>
        <w:spacing w:after="120"/>
        <w:rPr>
          <w:rFonts w:eastAsia="宋体"/>
          <w:sz w:val="21"/>
          <w:szCs w:val="21"/>
          <w:lang w:val="en-US" w:eastAsia="zh-CN"/>
        </w:rPr>
      </w:pPr>
      <w:r>
        <w:rPr>
          <w:rFonts w:hint="eastAsia" w:eastAsia="宋体"/>
          <w:sz w:val="21"/>
          <w:szCs w:val="21"/>
          <w:highlight w:val="green"/>
          <w:lang w:val="en-US" w:eastAsia="zh-CN"/>
        </w:rPr>
        <w:t>A</w:t>
      </w:r>
      <w:r>
        <w:rPr>
          <w:rFonts w:eastAsia="宋体"/>
          <w:sz w:val="21"/>
          <w:szCs w:val="21"/>
          <w:highlight w:val="green"/>
          <w:lang w:val="en-US" w:eastAsia="zh-CN"/>
        </w:rPr>
        <w:t xml:space="preserve">greement: </w:t>
      </w:r>
      <w:r>
        <w:rPr>
          <w:rFonts w:eastAsia="宋体"/>
          <w:sz w:val="21"/>
          <w:szCs w:val="21"/>
          <w:lang w:val="en-US" w:eastAsia="zh-CN"/>
        </w:rPr>
        <w:t>Per BC.</w:t>
      </w:r>
    </w:p>
    <w:p w14:paraId="629318EF">
      <w:pPr>
        <w:snapToGrid w:val="0"/>
        <w:spacing w:after="120"/>
        <w:rPr>
          <w:b/>
          <w:sz w:val="21"/>
          <w:szCs w:val="21"/>
          <w:u w:val="single"/>
          <w:lang w:val="en-US" w:eastAsia="zh-CN"/>
        </w:rPr>
      </w:pPr>
      <w:r>
        <w:rPr>
          <w:b/>
          <w:sz w:val="21"/>
          <w:szCs w:val="21"/>
          <w:u w:val="single"/>
          <w:lang w:val="en-US" w:eastAsia="zh-CN"/>
        </w:rPr>
        <w:t>Issue 1-1-1-2: The Report feature</w:t>
      </w:r>
    </w:p>
    <w:p w14:paraId="40308595">
      <w:pPr>
        <w:tabs>
          <w:tab w:val="left" w:pos="0"/>
        </w:tabs>
        <w:overflowPunct/>
        <w:autoSpaceDE/>
        <w:autoSpaceDN/>
        <w:adjustRightInd/>
        <w:snapToGrid w:val="0"/>
        <w:spacing w:after="120"/>
        <w:textAlignment w:val="auto"/>
        <w:rPr>
          <w:rFonts w:eastAsia="宋体"/>
          <w:bCs/>
          <w:sz w:val="21"/>
          <w:szCs w:val="21"/>
          <w:highlight w:val="green"/>
          <w:lang w:eastAsia="zh-CN"/>
        </w:rPr>
      </w:pPr>
      <w:r>
        <w:rPr>
          <w:rFonts w:hint="eastAsia" w:eastAsia="宋体"/>
          <w:bCs/>
          <w:sz w:val="21"/>
          <w:szCs w:val="21"/>
          <w:highlight w:val="green"/>
          <w:lang w:eastAsia="zh-CN"/>
        </w:rPr>
        <w:t>Ag</w:t>
      </w:r>
      <w:r>
        <w:rPr>
          <w:rFonts w:eastAsia="宋体"/>
          <w:bCs/>
          <w:sz w:val="21"/>
          <w:szCs w:val="21"/>
          <w:highlight w:val="green"/>
          <w:lang w:eastAsia="zh-CN"/>
        </w:rPr>
        <w:t>reement:</w:t>
      </w:r>
    </w:p>
    <w:p w14:paraId="2081692B">
      <w:pPr>
        <w:pStyle w:val="72"/>
        <w:numPr>
          <w:ilvl w:val="0"/>
          <w:numId w:val="1"/>
        </w:numPr>
        <w:tabs>
          <w:tab w:val="left" w:pos="0"/>
          <w:tab w:val="clear" w:pos="-420"/>
        </w:tabs>
        <w:overflowPunct/>
        <w:autoSpaceDE/>
        <w:autoSpaceDN/>
        <w:adjustRightInd/>
        <w:snapToGrid w:val="0"/>
        <w:spacing w:after="120"/>
        <w:ind w:left="1020" w:firstLineChars="0"/>
        <w:textAlignment w:val="auto"/>
        <w:rPr>
          <w:rFonts w:eastAsia="宋体"/>
          <w:sz w:val="21"/>
          <w:szCs w:val="21"/>
          <w:lang w:val="en-US"/>
        </w:rPr>
      </w:pPr>
      <w:r>
        <w:rPr>
          <w:rFonts w:eastAsia="宋体"/>
          <w:sz w:val="21"/>
          <w:szCs w:val="21"/>
          <w:lang w:val="en-US"/>
        </w:rPr>
        <w:t>Conditional mandatory for UEs supporting antennaArrayType-r18 on each band of the supported Band combination</w:t>
      </w:r>
    </w:p>
    <w:p w14:paraId="1FAC4767">
      <w:pPr>
        <w:pStyle w:val="72"/>
        <w:numPr>
          <w:ilvl w:val="0"/>
          <w:numId w:val="1"/>
        </w:numPr>
        <w:tabs>
          <w:tab w:val="left" w:pos="0"/>
          <w:tab w:val="clear" w:pos="-420"/>
        </w:tabs>
        <w:overflowPunct/>
        <w:autoSpaceDE/>
        <w:autoSpaceDN/>
        <w:adjustRightInd/>
        <w:snapToGrid w:val="0"/>
        <w:spacing w:after="120"/>
        <w:ind w:left="1020" w:firstLineChars="0"/>
        <w:textAlignment w:val="auto"/>
        <w:rPr>
          <w:rFonts w:eastAsia="宋体"/>
          <w:sz w:val="21"/>
          <w:szCs w:val="21"/>
          <w:lang w:val="en-US"/>
        </w:rPr>
      </w:pPr>
      <w:r>
        <w:rPr>
          <w:rFonts w:eastAsia="宋体"/>
          <w:sz w:val="21"/>
          <w:szCs w:val="21"/>
          <w:lang w:val="en-US"/>
        </w:rPr>
        <w:t>In the meanwhile, revisit the name and definition in the “components” for the FG.</w:t>
      </w:r>
    </w:p>
    <w:p w14:paraId="2F3BF769">
      <w:pPr>
        <w:snapToGrid w:val="0"/>
        <w:spacing w:after="120"/>
        <w:rPr>
          <w:b/>
          <w:sz w:val="21"/>
          <w:szCs w:val="21"/>
          <w:u w:val="single"/>
          <w:lang w:val="en-US" w:eastAsia="zh-CN"/>
        </w:rPr>
      </w:pPr>
      <w:r>
        <w:rPr>
          <w:b/>
          <w:sz w:val="21"/>
          <w:szCs w:val="21"/>
          <w:u w:val="single"/>
          <w:lang w:val="en-US" w:eastAsia="zh-CN"/>
        </w:rPr>
        <w:t>Issue 1-1-1-3: The Report functionalities between FDD and TDD</w:t>
      </w:r>
    </w:p>
    <w:p w14:paraId="2A8F4B71">
      <w:pPr>
        <w:tabs>
          <w:tab w:val="left" w:pos="0"/>
        </w:tabs>
        <w:overflowPunct/>
        <w:autoSpaceDE/>
        <w:autoSpaceDN/>
        <w:adjustRightInd/>
        <w:snapToGrid w:val="0"/>
        <w:spacing w:after="120"/>
        <w:rPr>
          <w:rFonts w:eastAsia="宋体"/>
          <w:sz w:val="21"/>
          <w:szCs w:val="21"/>
          <w:lang w:eastAsia="zh-CN"/>
        </w:rPr>
      </w:pPr>
      <w:r>
        <w:rPr>
          <w:rFonts w:hint="eastAsia" w:eastAsia="宋体"/>
          <w:sz w:val="21"/>
          <w:szCs w:val="21"/>
          <w:highlight w:val="green"/>
          <w:lang w:eastAsia="zh-CN"/>
        </w:rPr>
        <w:t>A</w:t>
      </w:r>
      <w:r>
        <w:rPr>
          <w:rFonts w:eastAsia="宋体"/>
          <w:sz w:val="21"/>
          <w:szCs w:val="21"/>
          <w:highlight w:val="green"/>
          <w:lang w:eastAsia="zh-CN"/>
        </w:rPr>
        <w:t>greement:</w:t>
      </w:r>
      <w:r>
        <w:rPr>
          <w:rFonts w:eastAsia="宋体"/>
          <w:sz w:val="21"/>
          <w:szCs w:val="21"/>
          <w:lang w:eastAsia="zh-CN"/>
        </w:rPr>
        <w:t xml:space="preserve"> No</w:t>
      </w:r>
    </w:p>
    <w:p w14:paraId="564DEECA">
      <w:pPr>
        <w:snapToGrid w:val="0"/>
        <w:spacing w:after="120"/>
        <w:rPr>
          <w:b/>
          <w:sz w:val="21"/>
          <w:szCs w:val="21"/>
          <w:u w:val="single"/>
          <w:lang w:val="en-US" w:eastAsia="zh-CN"/>
        </w:rPr>
      </w:pPr>
      <w:r>
        <w:rPr>
          <w:b/>
          <w:sz w:val="21"/>
          <w:szCs w:val="21"/>
          <w:u w:val="single"/>
          <w:lang w:val="en-US" w:eastAsia="zh-CN"/>
        </w:rPr>
        <w:t>Issue 1-1-1-4: Note for the capability</w:t>
      </w:r>
    </w:p>
    <w:p w14:paraId="06CE92D4">
      <w:pPr>
        <w:snapToGrid w:val="0"/>
        <w:spacing w:after="120"/>
        <w:rPr>
          <w:sz w:val="21"/>
          <w:szCs w:val="21"/>
          <w:highlight w:val="green"/>
          <w:lang w:val="en-US" w:eastAsia="zh-CN"/>
        </w:rPr>
      </w:pPr>
      <w:r>
        <w:rPr>
          <w:rFonts w:hint="eastAsia"/>
          <w:sz w:val="21"/>
          <w:szCs w:val="21"/>
          <w:highlight w:val="green"/>
          <w:lang w:val="en-US" w:eastAsia="zh-CN"/>
        </w:rPr>
        <w:t>A</w:t>
      </w:r>
      <w:r>
        <w:rPr>
          <w:sz w:val="21"/>
          <w:szCs w:val="21"/>
          <w:highlight w:val="green"/>
          <w:lang w:val="en-US" w:eastAsia="zh-CN"/>
        </w:rPr>
        <w:t>greement:</w:t>
      </w:r>
      <w:r>
        <w:rPr>
          <w:rFonts w:eastAsia="宋体"/>
          <w:sz w:val="21"/>
          <w:szCs w:val="21"/>
          <w:lang w:val="en-US"/>
        </w:rPr>
        <w:t xml:space="preserve"> This UE feature is applicable only for inter-band CA band combination(s) in Table [TBD] in TS 38.101-1. </w:t>
      </w:r>
    </w:p>
    <w:p w14:paraId="7FE4CCDA">
      <w:pPr>
        <w:rPr>
          <w:b/>
          <w:u w:val="single"/>
          <w:lang w:val="en-US" w:eastAsia="zh-CN"/>
        </w:rPr>
        <w:sectPr>
          <w:footnotePr>
            <w:numRestart w:val="eachSect"/>
          </w:footnotePr>
          <w:pgSz w:w="11907" w:h="16840"/>
          <w:pgMar w:top="720" w:right="720" w:bottom="720" w:left="720" w:header="680" w:footer="567" w:gutter="0"/>
          <w:cols w:space="720" w:num="1"/>
          <w:docGrid w:linePitch="272" w:charSpace="0"/>
        </w:sectPr>
      </w:pPr>
    </w:p>
    <w:tbl>
      <w:tblPr>
        <w:tblStyle w:val="44"/>
        <w:tblW w:w="14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828"/>
        <w:gridCol w:w="854"/>
        <w:gridCol w:w="1161"/>
        <w:gridCol w:w="1323"/>
        <w:gridCol w:w="1439"/>
        <w:gridCol w:w="646"/>
        <w:gridCol w:w="1077"/>
        <w:gridCol w:w="1000"/>
        <w:gridCol w:w="1392"/>
        <w:gridCol w:w="1446"/>
        <w:gridCol w:w="1216"/>
      </w:tblGrid>
      <w:tr w14:paraId="1CD4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917" w:type="dxa"/>
            <w:shd w:val="clear" w:color="auto" w:fill="auto"/>
          </w:tcPr>
          <w:p w14:paraId="5BEC8F20">
            <w:pPr>
              <w:keepNext/>
              <w:keepLines/>
              <w:jc w:val="center"/>
              <w:rPr>
                <w:rFonts w:ascii="Arial" w:hAnsi="Arial" w:cs="Arial"/>
                <w:b/>
                <w:sz w:val="18"/>
              </w:rPr>
            </w:pPr>
            <w:r>
              <w:rPr>
                <w:rFonts w:ascii="Arial" w:hAnsi="Arial" w:cs="Arial"/>
                <w:b/>
                <w:sz w:val="18"/>
              </w:rPr>
              <w:t>Feature group</w:t>
            </w:r>
          </w:p>
        </w:tc>
        <w:tc>
          <w:tcPr>
            <w:tcW w:w="1828" w:type="dxa"/>
            <w:shd w:val="clear" w:color="auto" w:fill="auto"/>
          </w:tcPr>
          <w:p w14:paraId="1D3BA73A">
            <w:pPr>
              <w:keepNext/>
              <w:keepLines/>
              <w:jc w:val="center"/>
              <w:rPr>
                <w:rFonts w:ascii="Arial" w:hAnsi="Arial" w:cs="Arial"/>
                <w:b/>
                <w:sz w:val="18"/>
              </w:rPr>
            </w:pPr>
            <w:r>
              <w:rPr>
                <w:rFonts w:ascii="Arial" w:hAnsi="Arial" w:cs="Arial"/>
                <w:b/>
                <w:sz w:val="18"/>
              </w:rPr>
              <w:t>Components</w:t>
            </w:r>
          </w:p>
          <w:p w14:paraId="148B256E">
            <w:pPr>
              <w:keepNext/>
              <w:keepLines/>
              <w:jc w:val="center"/>
              <w:rPr>
                <w:rFonts w:ascii="Arial" w:hAnsi="Arial" w:cs="Arial"/>
                <w:b/>
                <w:sz w:val="18"/>
              </w:rPr>
            </w:pPr>
          </w:p>
        </w:tc>
        <w:tc>
          <w:tcPr>
            <w:tcW w:w="854" w:type="dxa"/>
            <w:shd w:val="clear" w:color="auto" w:fill="auto"/>
          </w:tcPr>
          <w:p w14:paraId="392799C5">
            <w:pPr>
              <w:keepNext/>
              <w:keepLines/>
              <w:jc w:val="center"/>
              <w:rPr>
                <w:rFonts w:ascii="Arial" w:hAnsi="Arial" w:cs="Arial"/>
                <w:b/>
                <w:sz w:val="18"/>
              </w:rPr>
            </w:pPr>
            <w:r>
              <w:rPr>
                <w:rFonts w:ascii="Arial" w:hAnsi="Arial" w:cs="Arial"/>
                <w:b/>
                <w:sz w:val="18"/>
              </w:rPr>
              <w:t>Prerequisite feature groups</w:t>
            </w:r>
          </w:p>
        </w:tc>
        <w:tc>
          <w:tcPr>
            <w:tcW w:w="1161" w:type="dxa"/>
            <w:shd w:val="clear" w:color="auto" w:fill="auto"/>
          </w:tcPr>
          <w:p w14:paraId="3F42E5DF">
            <w:pPr>
              <w:keepNext/>
              <w:keepLines/>
              <w:jc w:val="center"/>
              <w:rPr>
                <w:rFonts w:ascii="Arial" w:hAnsi="Arial" w:cs="Arial"/>
                <w:b/>
                <w:sz w:val="18"/>
              </w:rPr>
            </w:pPr>
            <w:r>
              <w:rPr>
                <w:rFonts w:ascii="Arial" w:hAnsi="Arial" w:cs="Arial"/>
                <w:b/>
                <w:sz w:val="18"/>
              </w:rPr>
              <w:t>Need for the gNB to know if the feature is supported</w:t>
            </w:r>
          </w:p>
        </w:tc>
        <w:tc>
          <w:tcPr>
            <w:tcW w:w="1323" w:type="dxa"/>
            <w:shd w:val="clear" w:color="auto" w:fill="auto"/>
          </w:tcPr>
          <w:p w14:paraId="0479648C">
            <w:pPr>
              <w:keepNext/>
              <w:keepLines/>
              <w:jc w:val="center"/>
              <w:rPr>
                <w:rFonts w:ascii="Arial" w:hAnsi="Arial" w:cs="Arial"/>
                <w:b/>
                <w:sz w:val="18"/>
              </w:rPr>
            </w:pPr>
            <w:r>
              <w:rPr>
                <w:rFonts w:ascii="Arial" w:hAnsi="Arial" w:eastAsia="Gulim" w:cs="Arial"/>
                <w:b/>
                <w:sz w:val="18"/>
              </w:rPr>
              <w:t xml:space="preserve">Applicable to </w:t>
            </w:r>
            <w:r>
              <w:rPr>
                <w:rFonts w:ascii="Arial" w:hAnsi="Arial" w:cs="Arial"/>
                <w:b/>
                <w:sz w:val="18"/>
              </w:rPr>
              <w:t>the capability signalling exchange between UEs (V2X WI only)”.</w:t>
            </w:r>
          </w:p>
        </w:tc>
        <w:tc>
          <w:tcPr>
            <w:tcW w:w="1439" w:type="dxa"/>
          </w:tcPr>
          <w:p w14:paraId="4012FBBE">
            <w:pPr>
              <w:keepNext/>
              <w:keepLines/>
              <w:rPr>
                <w:rFonts w:ascii="Arial" w:hAnsi="Arial" w:cs="Arial"/>
                <w:b/>
                <w:sz w:val="18"/>
              </w:rPr>
            </w:pPr>
            <w:r>
              <w:rPr>
                <w:rFonts w:ascii="Arial" w:hAnsi="Arial" w:cs="Arial"/>
                <w:b/>
                <w:sz w:val="18"/>
              </w:rPr>
              <w:t>Consequence if the feature is not supported by the UE</w:t>
            </w:r>
          </w:p>
        </w:tc>
        <w:tc>
          <w:tcPr>
            <w:tcW w:w="646" w:type="dxa"/>
            <w:shd w:val="clear" w:color="auto" w:fill="auto"/>
          </w:tcPr>
          <w:p w14:paraId="33507A4C">
            <w:pPr>
              <w:keepNext/>
              <w:keepLines/>
              <w:rPr>
                <w:rFonts w:ascii="Arial" w:hAnsi="Arial" w:cs="Arial"/>
                <w:b/>
                <w:sz w:val="18"/>
              </w:rPr>
            </w:pPr>
            <w:r>
              <w:rPr>
                <w:rFonts w:ascii="Arial" w:hAnsi="Arial" w:cs="Arial"/>
                <w:b/>
                <w:sz w:val="18"/>
              </w:rPr>
              <w:t>Type</w:t>
            </w:r>
          </w:p>
        </w:tc>
        <w:tc>
          <w:tcPr>
            <w:tcW w:w="1077" w:type="dxa"/>
            <w:shd w:val="clear" w:color="auto" w:fill="auto"/>
          </w:tcPr>
          <w:p w14:paraId="31707A05">
            <w:pPr>
              <w:keepNext/>
              <w:keepLines/>
              <w:jc w:val="center"/>
              <w:rPr>
                <w:rFonts w:ascii="Arial" w:hAnsi="Arial" w:cs="Arial"/>
                <w:b/>
                <w:sz w:val="18"/>
              </w:rPr>
            </w:pPr>
            <w:r>
              <w:rPr>
                <w:rFonts w:ascii="Arial" w:hAnsi="Arial" w:cs="Arial"/>
                <w:b/>
                <w:sz w:val="18"/>
              </w:rPr>
              <w:t>Need of FDD/TDD differentiation</w:t>
            </w:r>
          </w:p>
        </w:tc>
        <w:tc>
          <w:tcPr>
            <w:tcW w:w="1000" w:type="dxa"/>
            <w:shd w:val="clear" w:color="auto" w:fill="auto"/>
          </w:tcPr>
          <w:p w14:paraId="4305E570">
            <w:pPr>
              <w:keepNext/>
              <w:keepLines/>
              <w:jc w:val="center"/>
              <w:rPr>
                <w:rFonts w:ascii="Arial" w:hAnsi="Arial" w:cs="Arial"/>
                <w:b/>
                <w:sz w:val="18"/>
              </w:rPr>
            </w:pPr>
            <w:r>
              <w:rPr>
                <w:rFonts w:ascii="Arial" w:hAnsi="Arial" w:cs="Arial"/>
                <w:b/>
                <w:sz w:val="18"/>
              </w:rPr>
              <w:t>Need of FR1/FR2 differentiation</w:t>
            </w:r>
          </w:p>
        </w:tc>
        <w:tc>
          <w:tcPr>
            <w:tcW w:w="1392" w:type="dxa"/>
          </w:tcPr>
          <w:p w14:paraId="543FC870">
            <w:pPr>
              <w:keepNext/>
              <w:keepLines/>
              <w:jc w:val="center"/>
              <w:rPr>
                <w:rFonts w:ascii="Arial" w:hAnsi="Arial" w:cs="Arial"/>
                <w:b/>
                <w:sz w:val="18"/>
              </w:rPr>
            </w:pPr>
            <w:r>
              <w:rPr>
                <w:rFonts w:ascii="Arial" w:hAnsi="Arial" w:cs="Arial"/>
                <w:b/>
                <w:sz w:val="18"/>
              </w:rPr>
              <w:t>Capability interpretation for mixture of FDD/TDD and/or FR1/FR2</w:t>
            </w:r>
          </w:p>
        </w:tc>
        <w:tc>
          <w:tcPr>
            <w:tcW w:w="1446" w:type="dxa"/>
            <w:shd w:val="clear" w:color="auto" w:fill="auto"/>
          </w:tcPr>
          <w:p w14:paraId="2DF946DB">
            <w:pPr>
              <w:keepNext/>
              <w:keepLines/>
              <w:jc w:val="center"/>
              <w:rPr>
                <w:rFonts w:ascii="Arial" w:hAnsi="Arial" w:cs="Arial"/>
                <w:b/>
                <w:sz w:val="18"/>
              </w:rPr>
            </w:pPr>
            <w:r>
              <w:rPr>
                <w:rFonts w:ascii="Arial" w:hAnsi="Arial" w:cs="Arial"/>
                <w:b/>
                <w:sz w:val="18"/>
              </w:rPr>
              <w:t>Note</w:t>
            </w:r>
          </w:p>
        </w:tc>
        <w:tc>
          <w:tcPr>
            <w:tcW w:w="1216" w:type="dxa"/>
            <w:shd w:val="clear" w:color="auto" w:fill="auto"/>
          </w:tcPr>
          <w:p w14:paraId="4F20150D">
            <w:pPr>
              <w:keepNext/>
              <w:keepLines/>
              <w:jc w:val="center"/>
              <w:rPr>
                <w:rFonts w:ascii="Arial" w:hAnsi="Arial" w:cs="Arial"/>
                <w:b/>
                <w:sz w:val="18"/>
              </w:rPr>
            </w:pPr>
            <w:r>
              <w:rPr>
                <w:rFonts w:ascii="Arial" w:hAnsi="Arial" w:cs="Arial"/>
                <w:b/>
                <w:sz w:val="18"/>
              </w:rPr>
              <w:t>Mandatory/Optional</w:t>
            </w:r>
          </w:p>
        </w:tc>
      </w:tr>
      <w:tr w14:paraId="230B4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dxa"/>
            <w:shd w:val="clear" w:color="auto" w:fill="auto"/>
          </w:tcPr>
          <w:p w14:paraId="1DEECE4E">
            <w:pPr>
              <w:keepNext/>
              <w:keepLines/>
              <w:rPr>
                <w:rFonts w:ascii="Arial" w:hAnsi="Arial" w:cs="Arial"/>
                <w:sz w:val="18"/>
                <w:lang w:val="en-US"/>
              </w:rPr>
            </w:pPr>
            <w:r>
              <w:rPr>
                <w:rFonts w:ascii="Arial" w:hAnsi="Arial" w:cs="Arial" w:eastAsiaTheme="minorEastAsia"/>
                <w:sz w:val="18"/>
                <w:szCs w:val="18"/>
                <w:lang w:val="en-US" w:eastAsia="zh-CN"/>
              </w:rPr>
              <w:t>Rx beam</w:t>
            </w:r>
            <w:r>
              <w:rPr>
                <w:rFonts w:hint="eastAsia" w:ascii="Arial" w:hAnsi="Arial" w:cs="Arial" w:eastAsiaTheme="minorEastAsia"/>
                <w:sz w:val="18"/>
                <w:szCs w:val="18"/>
                <w:lang w:val="en-US" w:eastAsia="zh-CN"/>
              </w:rPr>
              <w:t xml:space="preserve"> Type</w:t>
            </w:r>
          </w:p>
        </w:tc>
        <w:tc>
          <w:tcPr>
            <w:tcW w:w="1828" w:type="dxa"/>
            <w:shd w:val="clear" w:color="auto" w:fill="auto"/>
          </w:tcPr>
          <w:p w14:paraId="6D6D3ED4">
            <w:pPr>
              <w:keepNext/>
              <w:keepLines/>
              <w:rPr>
                <w:rFonts w:ascii="Arial" w:hAnsi="Arial" w:cs="Arial"/>
                <w:sz w:val="18"/>
              </w:rPr>
            </w:pPr>
            <w:r>
              <w:rPr>
                <w:rFonts w:hint="eastAsia" w:ascii="Arial" w:hAnsi="Arial" w:cs="Arial"/>
                <w:sz w:val="18"/>
              </w:rPr>
              <w:t xml:space="preserve">Indicates whether the UE supports one common Rx beam </w:t>
            </w:r>
            <w:r>
              <w:rPr>
                <w:rFonts w:hint="eastAsia" w:ascii="Arial" w:hAnsi="Arial" w:cs="Arial"/>
                <w:sz w:val="18"/>
                <w:lang w:val="en-US" w:eastAsia="zh-CN"/>
              </w:rPr>
              <w:t xml:space="preserve">or </w:t>
            </w:r>
            <w:r>
              <w:rPr>
                <w:rFonts w:hint="eastAsia" w:ascii="Arial" w:hAnsi="Arial" w:cs="Arial"/>
                <w:sz w:val="18"/>
              </w:rPr>
              <w:t>two simultaneous separate Rx beams</w:t>
            </w:r>
            <w:r>
              <w:rPr>
                <w:rFonts w:hint="eastAsia" w:ascii="Arial" w:hAnsi="Arial" w:cs="Arial"/>
                <w:sz w:val="18"/>
                <w:lang w:val="en-US" w:eastAsia="zh-CN"/>
              </w:rPr>
              <w:t xml:space="preserve"> </w:t>
            </w:r>
            <w:r>
              <w:rPr>
                <w:rFonts w:hint="eastAsia" w:ascii="Arial" w:hAnsi="Arial" w:cs="Arial"/>
                <w:sz w:val="18"/>
              </w:rPr>
              <w:t>when UE capable of antennaArrayType-r18 on both PCC and SCC.</w:t>
            </w:r>
          </w:p>
        </w:tc>
        <w:tc>
          <w:tcPr>
            <w:tcW w:w="854" w:type="dxa"/>
            <w:shd w:val="clear" w:color="auto" w:fill="auto"/>
          </w:tcPr>
          <w:p w14:paraId="13104993">
            <w:pPr>
              <w:keepNext/>
              <w:keepLines/>
              <w:jc w:val="center"/>
              <w:rPr>
                <w:rFonts w:ascii="Arial" w:hAnsi="Arial" w:cs="Arial"/>
                <w:b/>
                <w:sz w:val="18"/>
              </w:rPr>
            </w:pPr>
          </w:p>
        </w:tc>
        <w:tc>
          <w:tcPr>
            <w:tcW w:w="1161" w:type="dxa"/>
            <w:shd w:val="clear" w:color="auto" w:fill="auto"/>
          </w:tcPr>
          <w:p w14:paraId="72E337EF">
            <w:pPr>
              <w:keepNext/>
              <w:keepLines/>
              <w:jc w:val="center"/>
              <w:rPr>
                <w:rFonts w:ascii="Arial" w:hAnsi="Arial" w:eastAsia="宋体" w:cs="Arial"/>
                <w:sz w:val="18"/>
                <w:lang w:val="en-US" w:eastAsia="zh-CN"/>
              </w:rPr>
            </w:pPr>
            <w:r>
              <w:rPr>
                <w:rFonts w:hint="eastAsia" w:ascii="Arial" w:hAnsi="Arial" w:eastAsia="宋体" w:cs="Arial"/>
                <w:sz w:val="18"/>
                <w:lang w:val="en-US" w:eastAsia="zh-CN"/>
              </w:rPr>
              <w:t>yes</w:t>
            </w:r>
          </w:p>
        </w:tc>
        <w:tc>
          <w:tcPr>
            <w:tcW w:w="1323" w:type="dxa"/>
            <w:shd w:val="clear" w:color="auto" w:fill="auto"/>
          </w:tcPr>
          <w:p w14:paraId="11E5BA1F">
            <w:pPr>
              <w:keepNext/>
              <w:keepLines/>
              <w:jc w:val="center"/>
              <w:rPr>
                <w:rFonts w:ascii="Arial" w:hAnsi="Arial" w:eastAsia="宋体" w:cs="Arial"/>
                <w:b/>
                <w:sz w:val="18"/>
                <w:lang w:val="en-US" w:eastAsia="zh-CN"/>
              </w:rPr>
            </w:pPr>
            <w:r>
              <w:rPr>
                <w:rFonts w:hint="eastAsia" w:ascii="Arial" w:hAnsi="Arial" w:eastAsia="宋体" w:cs="Arial"/>
                <w:sz w:val="18"/>
                <w:lang w:val="en-US" w:eastAsia="zh-CN"/>
              </w:rPr>
              <w:t>N/A</w:t>
            </w:r>
          </w:p>
        </w:tc>
        <w:tc>
          <w:tcPr>
            <w:tcW w:w="1439" w:type="dxa"/>
          </w:tcPr>
          <w:p w14:paraId="3521F920">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eastAsia="宋体" w:cs="Arial"/>
                <w:sz w:val="18"/>
                <w:szCs w:val="18"/>
                <w:lang w:val="en-US" w:eastAsia="zh-CN"/>
              </w:rPr>
              <w:t>reception capability</w:t>
            </w:r>
            <w:r>
              <w:rPr>
                <w:rFonts w:ascii="Arial" w:hAnsi="Arial" w:cs="Arial"/>
                <w:sz w:val="18"/>
                <w:szCs w:val="18"/>
              </w:rPr>
              <w:t>.</w:t>
            </w:r>
          </w:p>
        </w:tc>
        <w:tc>
          <w:tcPr>
            <w:tcW w:w="646" w:type="dxa"/>
            <w:shd w:val="clear" w:color="auto" w:fill="auto"/>
          </w:tcPr>
          <w:p w14:paraId="735F0D80">
            <w:pPr>
              <w:keepNext/>
              <w:keepLines/>
              <w:rPr>
                <w:rFonts w:ascii="Arial" w:hAnsi="Arial" w:eastAsia="宋体" w:cs="Arial"/>
                <w:sz w:val="18"/>
                <w:lang w:val="en-US" w:eastAsia="zh-CN"/>
              </w:rPr>
            </w:pPr>
            <w:r>
              <w:rPr>
                <w:rFonts w:hint="eastAsia" w:ascii="Arial" w:hAnsi="Arial" w:eastAsia="宋体" w:cs="Arial"/>
                <w:sz w:val="18"/>
                <w:lang w:val="en-US" w:eastAsia="zh-CN"/>
              </w:rPr>
              <w:t>Per BC</w:t>
            </w:r>
          </w:p>
        </w:tc>
        <w:tc>
          <w:tcPr>
            <w:tcW w:w="1077" w:type="dxa"/>
            <w:shd w:val="clear" w:color="auto" w:fill="auto"/>
          </w:tcPr>
          <w:p w14:paraId="2095CF47">
            <w:pPr>
              <w:keepNext/>
              <w:keepLines/>
              <w:jc w:val="center"/>
              <w:rPr>
                <w:rFonts w:ascii="Arial" w:hAnsi="Arial" w:eastAsia="宋体" w:cs="Arial"/>
                <w:sz w:val="18"/>
                <w:lang w:val="en-US" w:eastAsia="zh-CN"/>
              </w:rPr>
            </w:pPr>
            <w:r>
              <w:rPr>
                <w:rFonts w:hint="eastAsia" w:ascii="Arial" w:hAnsi="Arial" w:eastAsia="宋体" w:cs="Arial"/>
                <w:sz w:val="18"/>
                <w:lang w:val="en-US" w:eastAsia="zh-CN"/>
              </w:rPr>
              <w:t>No</w:t>
            </w:r>
          </w:p>
        </w:tc>
        <w:tc>
          <w:tcPr>
            <w:tcW w:w="1000" w:type="dxa"/>
            <w:shd w:val="clear" w:color="auto" w:fill="auto"/>
          </w:tcPr>
          <w:p w14:paraId="2E3DA04D">
            <w:pPr>
              <w:keepNext/>
              <w:keepLines/>
              <w:jc w:val="center"/>
              <w:rPr>
                <w:rFonts w:ascii="Arial" w:hAnsi="Arial" w:eastAsia="宋体" w:cs="Arial"/>
                <w:sz w:val="18"/>
                <w:lang w:val="en-US" w:eastAsia="zh-CN"/>
              </w:rPr>
            </w:pPr>
            <w:r>
              <w:rPr>
                <w:rFonts w:hint="eastAsia" w:ascii="Arial" w:hAnsi="Arial" w:eastAsia="宋体" w:cs="Arial"/>
                <w:sz w:val="18"/>
                <w:lang w:val="en-US" w:eastAsia="zh-CN"/>
              </w:rPr>
              <w:t>FR1 only</w:t>
            </w:r>
          </w:p>
        </w:tc>
        <w:tc>
          <w:tcPr>
            <w:tcW w:w="1392" w:type="dxa"/>
          </w:tcPr>
          <w:p w14:paraId="0D3B64B8">
            <w:pPr>
              <w:keepNext/>
              <w:keepLines/>
              <w:jc w:val="center"/>
              <w:rPr>
                <w:rFonts w:ascii="Arial" w:hAnsi="Arial" w:eastAsia="宋体" w:cs="Arial"/>
                <w:b/>
                <w:sz w:val="18"/>
                <w:lang w:val="en-US" w:eastAsia="zh-CN"/>
              </w:rPr>
            </w:pPr>
            <w:r>
              <w:rPr>
                <w:rFonts w:hint="eastAsia" w:ascii="Arial" w:hAnsi="Arial" w:eastAsia="宋体" w:cs="Arial"/>
                <w:sz w:val="18"/>
                <w:lang w:val="en-US" w:eastAsia="zh-CN"/>
              </w:rPr>
              <w:t>N/A</w:t>
            </w:r>
          </w:p>
        </w:tc>
        <w:tc>
          <w:tcPr>
            <w:tcW w:w="1446" w:type="dxa"/>
            <w:shd w:val="clear" w:color="auto" w:fill="auto"/>
          </w:tcPr>
          <w:p w14:paraId="3A93A9E8">
            <w:pPr>
              <w:keepNext/>
              <w:keepLines/>
              <w:jc w:val="center"/>
              <w:rPr>
                <w:rFonts w:ascii="Arial" w:hAnsi="Arial" w:cs="Arial"/>
                <w:b/>
                <w:sz w:val="18"/>
                <w:lang w:val="en-US"/>
              </w:rPr>
            </w:pPr>
            <w:r>
              <w:rPr>
                <w:rFonts w:hint="eastAsia" w:ascii="Arial" w:hAnsi="Arial" w:eastAsia="宋体" w:cs="Arial"/>
                <w:sz w:val="18"/>
                <w:lang w:val="en-US" w:eastAsia="zh-CN"/>
              </w:rPr>
              <w:t>This UE feature is applicable only for inter-band CA band combination(s) in Table [TBD] in TS 38.101-1.</w:t>
            </w:r>
          </w:p>
        </w:tc>
        <w:tc>
          <w:tcPr>
            <w:tcW w:w="1216" w:type="dxa"/>
            <w:shd w:val="clear" w:color="auto" w:fill="auto"/>
          </w:tcPr>
          <w:p w14:paraId="4DE9F290">
            <w:pPr>
              <w:keepNext/>
              <w:keepLines/>
              <w:jc w:val="center"/>
              <w:rPr>
                <w:rFonts w:ascii="Arial" w:hAnsi="Arial" w:cs="Arial"/>
                <w:sz w:val="18"/>
              </w:rPr>
            </w:pPr>
            <w:r>
              <w:rPr>
                <w:rFonts w:hint="eastAsia" w:ascii="Arial" w:hAnsi="Arial" w:cs="Arial"/>
                <w:sz w:val="18"/>
              </w:rPr>
              <w:t>Conditional mandatory for UEs supporting antennaArrayType-r18 on each band of the supported Band combination</w:t>
            </w:r>
          </w:p>
        </w:tc>
      </w:tr>
    </w:tbl>
    <w:p w14:paraId="6FC32382">
      <w:pPr>
        <w:rPr>
          <w:b/>
          <w:u w:val="single"/>
          <w:lang w:val="en-US" w:eastAsia="zh-CN"/>
        </w:rPr>
        <w:sectPr>
          <w:footnotePr>
            <w:numRestart w:val="eachSect"/>
          </w:footnotePr>
          <w:pgSz w:w="16840" w:h="11907" w:orient="landscape"/>
          <w:pgMar w:top="720" w:right="720" w:bottom="720" w:left="720" w:header="680" w:footer="567" w:gutter="0"/>
          <w:cols w:space="0" w:num="1"/>
          <w:docGrid w:linePitch="272" w:charSpace="0"/>
        </w:sectPr>
      </w:pPr>
    </w:p>
    <w:p w14:paraId="5BDB4665">
      <w:pPr>
        <w:rPr>
          <w:b/>
          <w:u w:val="single"/>
          <w:lang w:val="en-US" w:eastAsia="zh-CN"/>
        </w:rPr>
      </w:pPr>
      <w:r>
        <w:rPr>
          <w:rFonts w:hint="eastAsia"/>
          <w:b/>
          <w:u w:val="single"/>
          <w:lang w:val="en-US" w:eastAsia="zh-CN"/>
        </w:rPr>
        <w:t>Issue 1-2-1: Interruption requirements</w:t>
      </w:r>
    </w:p>
    <w:p w14:paraId="06286777">
      <w:pPr>
        <w:pStyle w:val="72"/>
        <w:overflowPunct/>
        <w:autoSpaceDE/>
        <w:autoSpaceDN/>
        <w:adjustRightInd/>
        <w:spacing w:after="120"/>
        <w:ind w:firstLine="0" w:firstLineChars="0"/>
        <w:textAlignment w:val="auto"/>
        <w:rPr>
          <w:highlight w:val="green"/>
          <w:lang w:val="en-US" w:eastAsia="zh-CN"/>
        </w:rPr>
      </w:pPr>
      <w:r>
        <w:rPr>
          <w:rFonts w:hint="eastAsia"/>
          <w:highlight w:val="green"/>
          <w:lang w:val="en-US" w:eastAsia="zh-CN"/>
        </w:rPr>
        <w:t>Agreement:</w:t>
      </w:r>
    </w:p>
    <w:p w14:paraId="5715F162">
      <w:pPr>
        <w:pStyle w:val="72"/>
        <w:numPr>
          <w:ilvl w:val="0"/>
          <w:numId w:val="1"/>
        </w:numPr>
        <w:overflowPunct/>
        <w:autoSpaceDE/>
        <w:autoSpaceDN/>
        <w:adjustRightInd/>
        <w:spacing w:after="120"/>
        <w:ind w:left="1020" w:firstLineChars="0"/>
        <w:textAlignment w:val="auto"/>
        <w:rPr>
          <w:rFonts w:eastAsia="宋体"/>
          <w:szCs w:val="24"/>
          <w:lang w:val="en-US" w:eastAsia="zh-CN"/>
        </w:rPr>
      </w:pPr>
      <w:r>
        <w:rPr>
          <w:rFonts w:hint="eastAsia" w:eastAsia="宋体"/>
          <w:szCs w:val="24"/>
          <w:lang w:val="en-US" w:eastAsia="ko-KR"/>
        </w:rPr>
        <w:t>The existing interruption requir</w:t>
      </w:r>
      <w:r>
        <w:rPr>
          <w:rFonts w:hint="eastAsia" w:eastAsia="宋体"/>
          <w:szCs w:val="24"/>
          <w:lang w:val="en-US" w:eastAsia="zh-CN"/>
        </w:rPr>
        <w:t>e</w:t>
      </w:r>
      <w:r>
        <w:rPr>
          <w:rFonts w:hint="eastAsia" w:eastAsia="宋体"/>
          <w:szCs w:val="24"/>
          <w:lang w:val="en-US" w:eastAsia="ko-KR"/>
        </w:rPr>
        <w:t>ments caused by SCell addition / release and SCell activation / deactivation can be reused for ATG CA depending on intra-band CA and inter-band CA (i.e., no need to consider different requirement for common Rx beam ATG UE in inter-band CA).</w:t>
      </w:r>
    </w:p>
    <w:p w14:paraId="7FDA1C6E">
      <w:pPr>
        <w:rPr>
          <w:b/>
          <w:u w:val="single"/>
          <w:lang w:val="en-US" w:eastAsia="zh-CN"/>
        </w:rPr>
      </w:pPr>
    </w:p>
    <w:p w14:paraId="6D81B460">
      <w:pPr>
        <w:rPr>
          <w:b/>
          <w:u w:val="single"/>
          <w:lang w:val="en-US" w:eastAsia="zh-CN"/>
        </w:rPr>
      </w:pPr>
      <w:r>
        <w:rPr>
          <w:rFonts w:hint="eastAsia"/>
          <w:b/>
          <w:u w:val="single"/>
          <w:lang w:val="en-US" w:eastAsia="zh-CN"/>
        </w:rPr>
        <w:t>Issue 1-2-2: SCell act</w:t>
      </w:r>
      <w:r>
        <w:rPr>
          <w:b/>
          <w:u w:val="single"/>
          <w:lang w:val="en-US" w:eastAsia="zh-CN"/>
        </w:rPr>
        <w:t>ivation delay enhancement</w:t>
      </w:r>
    </w:p>
    <w:p w14:paraId="23F1B000">
      <w:pPr>
        <w:pStyle w:val="72"/>
        <w:overflowPunct/>
        <w:autoSpaceDE/>
        <w:autoSpaceDN/>
        <w:adjustRightInd/>
        <w:spacing w:after="120"/>
        <w:ind w:firstLine="0" w:firstLineChars="0"/>
        <w:textAlignment w:val="auto"/>
        <w:rPr>
          <w:highlight w:val="green"/>
          <w:lang w:val="en-US" w:eastAsia="zh-CN"/>
        </w:rPr>
      </w:pPr>
      <w:r>
        <w:rPr>
          <w:rFonts w:hint="eastAsia"/>
          <w:highlight w:val="green"/>
          <w:lang w:val="en-US" w:eastAsia="zh-CN"/>
        </w:rPr>
        <w:t>Agreement:</w:t>
      </w:r>
    </w:p>
    <w:p w14:paraId="09F9C3D9">
      <w:pPr>
        <w:pStyle w:val="72"/>
        <w:overflowPunct/>
        <w:autoSpaceDE/>
        <w:autoSpaceDN/>
        <w:adjustRightInd/>
        <w:spacing w:after="120"/>
        <w:ind w:firstLine="0" w:firstLineChars="0"/>
        <w:textAlignment w:val="auto"/>
        <w:rPr>
          <w:lang w:val="en-US" w:eastAsia="zh-CN"/>
        </w:rPr>
      </w:pPr>
      <w:r>
        <w:rPr>
          <w:rFonts w:eastAsia="宋体"/>
          <w:szCs w:val="24"/>
          <w:lang w:val="en-US" w:eastAsia="zh-CN"/>
        </w:rPr>
        <w:t xml:space="preserve"> Reuse the legacy SCell activation delay requirement for ATG</w:t>
      </w:r>
    </w:p>
    <w:p w14:paraId="4DDB191F">
      <w:pPr>
        <w:rPr>
          <w:b/>
          <w:u w:val="single"/>
          <w:lang w:val="en-US" w:eastAsia="zh-CN"/>
        </w:rPr>
      </w:pPr>
    </w:p>
    <w:p w14:paraId="695FAA6D">
      <w:pPr>
        <w:rPr>
          <w:b/>
          <w:u w:val="single"/>
          <w:lang w:val="en-US" w:eastAsia="zh-CN"/>
        </w:rPr>
      </w:pPr>
      <w:r>
        <w:rPr>
          <w:rFonts w:hint="eastAsia"/>
          <w:b/>
          <w:u w:val="single"/>
          <w:lang w:val="en-US" w:eastAsia="zh-CN"/>
        </w:rPr>
        <w:t>Issue 1-2-3: Active BWP switch delay of single CC requirement</w:t>
      </w:r>
    </w:p>
    <w:p w14:paraId="161A1495">
      <w:pPr>
        <w:pStyle w:val="72"/>
        <w:overflowPunct/>
        <w:autoSpaceDE/>
        <w:autoSpaceDN/>
        <w:adjustRightInd/>
        <w:spacing w:after="120"/>
        <w:ind w:firstLine="0" w:firstLineChars="0"/>
        <w:textAlignment w:val="auto"/>
        <w:rPr>
          <w:highlight w:val="green"/>
          <w:lang w:val="en-US" w:eastAsia="zh-CN"/>
        </w:rPr>
      </w:pPr>
      <w:r>
        <w:rPr>
          <w:rFonts w:hint="eastAsia"/>
          <w:highlight w:val="green"/>
          <w:lang w:val="en-US" w:eastAsia="zh-CN"/>
        </w:rPr>
        <w:t>Agreement:</w:t>
      </w:r>
    </w:p>
    <w:p w14:paraId="01944AB6">
      <w:pPr>
        <w:pStyle w:val="72"/>
        <w:overflowPunct/>
        <w:autoSpaceDE/>
        <w:autoSpaceDN/>
        <w:adjustRightInd/>
        <w:spacing w:after="120"/>
        <w:ind w:firstLine="0" w:firstLineChars="0"/>
        <w:textAlignment w:val="auto"/>
        <w:rPr>
          <w:rFonts w:eastAsia="宋体"/>
          <w:szCs w:val="24"/>
          <w:lang w:val="en-US" w:eastAsia="zh-CN"/>
        </w:rPr>
      </w:pPr>
      <w:r>
        <w:rPr>
          <w:rFonts w:eastAsia="宋体"/>
          <w:szCs w:val="24"/>
          <w:lang w:val="en-US" w:eastAsia="zh-CN"/>
        </w:rPr>
        <w:t>Introduce SCell dormancy related impact for active BWP switch delay of single CC requirement. The legacy TN requirement can be reused.</w:t>
      </w:r>
    </w:p>
    <w:p w14:paraId="3102CC89">
      <w:pPr>
        <w:pStyle w:val="72"/>
        <w:overflowPunct/>
        <w:autoSpaceDE/>
        <w:autoSpaceDN/>
        <w:adjustRightInd/>
        <w:spacing w:after="120"/>
        <w:ind w:firstLine="0" w:firstLineChars="0"/>
        <w:textAlignment w:val="auto"/>
        <w:rPr>
          <w:rFonts w:eastAsia="宋体"/>
          <w:szCs w:val="24"/>
          <w:lang w:val="en-US" w:eastAsia="zh-CN"/>
        </w:rPr>
      </w:pPr>
      <w:r>
        <w:rPr>
          <w:rFonts w:hint="eastAsia" w:eastAsia="宋体"/>
          <w:szCs w:val="24"/>
          <w:lang w:val="en-US" w:eastAsia="zh-CN"/>
        </w:rPr>
        <w:t>Can be revert if technical issue found.</w:t>
      </w:r>
    </w:p>
    <w:p w14:paraId="536D61E3">
      <w:pPr>
        <w:rPr>
          <w:b/>
          <w:u w:val="single"/>
          <w:lang w:val="en-US" w:eastAsia="zh-CN"/>
        </w:rPr>
      </w:pPr>
    </w:p>
    <w:p w14:paraId="265116B3">
      <w:pPr>
        <w:pStyle w:val="72"/>
        <w:overflowPunct/>
        <w:autoSpaceDE/>
        <w:autoSpaceDN/>
        <w:adjustRightInd/>
        <w:spacing w:after="120"/>
        <w:ind w:firstLine="0" w:firstLineChars="0"/>
        <w:textAlignment w:val="auto"/>
        <w:rPr>
          <w:rFonts w:eastAsia="宋体"/>
          <w:b/>
          <w:u w:val="single"/>
          <w:lang w:val="en-US" w:eastAsia="zh-CN"/>
        </w:rPr>
      </w:pPr>
      <w:r>
        <w:rPr>
          <w:rFonts w:hint="eastAsia" w:eastAsia="宋体"/>
          <w:b/>
          <w:u w:val="single"/>
          <w:lang w:val="en-US" w:eastAsia="zh-CN"/>
        </w:rPr>
        <w:t xml:space="preserve">Issue 1-3-1: Sharing factor between L1 measurement and RRM measurement - Condition for </w:t>
      </w:r>
      <w:r>
        <w:rPr>
          <w:b/>
          <w:u w:val="single"/>
        </w:rPr>
        <w:t>K</w:t>
      </w:r>
      <w:r>
        <w:rPr>
          <w:b/>
          <w:u w:val="single"/>
          <w:vertAlign w:val="subscript"/>
        </w:rPr>
        <w:t>layer1_measurement</w:t>
      </w:r>
      <w:r>
        <w:rPr>
          <w:b/>
          <w:u w:val="single"/>
        </w:rPr>
        <w:t>=1</w:t>
      </w:r>
      <w:r>
        <w:rPr>
          <w:rFonts w:hint="eastAsia" w:eastAsia="宋体"/>
          <w:b/>
          <w:u w:val="single"/>
          <w:lang w:val="en-US" w:eastAsia="zh-CN"/>
        </w:rPr>
        <w:t xml:space="preserve"> and definition format</w:t>
      </w:r>
    </w:p>
    <w:p w14:paraId="0FE088ED">
      <w:pPr>
        <w:pStyle w:val="72"/>
        <w:overflowPunct/>
        <w:autoSpaceDE/>
        <w:autoSpaceDN/>
        <w:adjustRightInd/>
        <w:spacing w:after="120"/>
        <w:ind w:firstLine="0" w:firstLineChars="0"/>
        <w:textAlignment w:val="auto"/>
        <w:rPr>
          <w:highlight w:val="green"/>
          <w:lang w:val="en-US" w:eastAsia="zh-CN"/>
        </w:rPr>
      </w:pPr>
      <w:r>
        <w:rPr>
          <w:rFonts w:hint="eastAsia"/>
          <w:highlight w:val="green"/>
          <w:lang w:val="en-US" w:eastAsia="zh-CN"/>
        </w:rPr>
        <w:t>Agreement:</w:t>
      </w:r>
    </w:p>
    <w:p w14:paraId="33F1B2E8">
      <w:pPr>
        <w:pStyle w:val="72"/>
        <w:numPr>
          <w:ilvl w:val="0"/>
          <w:numId w:val="1"/>
        </w:numPr>
        <w:overflowPunct/>
        <w:autoSpaceDE/>
        <w:autoSpaceDN/>
        <w:adjustRightInd/>
        <w:spacing w:after="120"/>
        <w:ind w:left="1020" w:firstLineChars="0"/>
        <w:textAlignment w:val="auto"/>
      </w:pPr>
      <w:r>
        <w:rPr>
          <w:rFonts w:hint="eastAsia" w:eastAsia="宋体"/>
          <w:lang w:val="en-US" w:eastAsia="zh-CN"/>
        </w:rPr>
        <w:t xml:space="preserve">For </w:t>
      </w:r>
      <w:r>
        <w:rPr>
          <w:lang w:eastAsia="zh-CN"/>
        </w:rPr>
        <w:t xml:space="preserve">UE </w:t>
      </w:r>
      <w:r>
        <w:rPr>
          <w:rFonts w:hint="eastAsia"/>
          <w:lang w:val="en-US" w:eastAsia="zh-CN"/>
        </w:rPr>
        <w:t>capable of [</w:t>
      </w:r>
      <w:r>
        <w:t>antennaArrayType-r1</w:t>
      </w:r>
      <w:r>
        <w:rPr>
          <w:rFonts w:hint="eastAsia" w:eastAsia="宋体"/>
          <w:lang w:val="en-US" w:eastAsia="zh-CN"/>
        </w:rPr>
        <w:t>8] on the measured carrier</w:t>
      </w:r>
    </w:p>
    <w:p w14:paraId="5A693AB5">
      <w:pPr>
        <w:pStyle w:val="72"/>
        <w:numPr>
          <w:ilvl w:val="1"/>
          <w:numId w:val="1"/>
        </w:numPr>
        <w:overflowPunct/>
        <w:autoSpaceDE/>
        <w:autoSpaceDN/>
        <w:adjustRightInd/>
        <w:spacing w:after="120"/>
        <w:ind w:left="1440" w:firstLineChars="0"/>
        <w:textAlignment w:val="auto"/>
      </w:pPr>
      <w:r>
        <w:t>K</w:t>
      </w:r>
      <w:r>
        <w:rPr>
          <w:vertAlign w:val="subscript"/>
        </w:rPr>
        <w:t>layer1_measurement</w:t>
      </w:r>
      <w:r>
        <w:t xml:space="preserve">=1, </w:t>
      </w:r>
    </w:p>
    <w:p w14:paraId="11FE1616">
      <w:pPr>
        <w:numPr>
          <w:ilvl w:val="2"/>
          <w:numId w:val="1"/>
        </w:numPr>
        <w:snapToGrid w:val="0"/>
        <w:spacing w:after="120"/>
        <w:ind w:left="1860"/>
      </w:pPr>
      <w:r>
        <w:rPr>
          <w:rFonts w:hint="eastAsia"/>
          <w:u w:val="single"/>
          <w:lang w:val="en-US" w:eastAsia="zh-CN"/>
        </w:rPr>
        <w:t>If</w:t>
      </w:r>
      <w:r>
        <w:rPr>
          <w:u w:val="single"/>
        </w:rPr>
        <w:t xml:space="preserve"> inter-band carrier aggregation within FR1 is configured [and UE doesn’t support capability of case 4]</w:t>
      </w:r>
    </w:p>
    <w:p w14:paraId="5BA205C9">
      <w:pPr>
        <w:numPr>
          <w:ilvl w:val="3"/>
          <w:numId w:val="1"/>
        </w:numPr>
        <w:snapToGrid w:val="0"/>
        <w:spacing w:after="120"/>
        <w:ind w:left="2280"/>
      </w:pPr>
      <w:r>
        <w:t>if all of the reference signals configured for RLM, BFD, CBD or L1-RSRP for beam reporting</w:t>
      </w:r>
      <w:r>
        <w:rPr>
          <w:rFonts w:hint="eastAsia"/>
          <w:lang w:val="en-US" w:eastAsia="zh-CN"/>
        </w:rPr>
        <w:t xml:space="preserve"> </w:t>
      </w:r>
      <w:r>
        <w:t>outside measurement gap are not fully overlapped by intra-frequency SMTC occasions</w:t>
      </w:r>
      <w:r>
        <w:rPr>
          <w:rFonts w:hint="eastAsia"/>
          <w:lang w:val="en-US" w:eastAsia="zh-CN"/>
        </w:rPr>
        <w:t xml:space="preserve"> </w:t>
      </w:r>
      <w:r>
        <w:rPr>
          <w:rFonts w:hint="eastAsia"/>
          <w:u w:val="single"/>
          <w:lang w:val="en-US" w:eastAsia="zh-CN"/>
        </w:rPr>
        <w:t xml:space="preserve">of </w:t>
      </w:r>
      <w:r>
        <w:rPr>
          <w:u w:val="single"/>
        </w:rPr>
        <w:t>same serving cell</w:t>
      </w:r>
      <w:r>
        <w:rPr>
          <w:rFonts w:hint="eastAsia"/>
          <w:u w:val="single"/>
          <w:lang w:val="en-US" w:eastAsia="zh-CN"/>
        </w:rPr>
        <w:t xml:space="preserve"> </w:t>
      </w:r>
    </w:p>
    <w:p w14:paraId="71C4C7E8">
      <w:pPr>
        <w:numPr>
          <w:ilvl w:val="2"/>
          <w:numId w:val="1"/>
        </w:numPr>
        <w:snapToGrid w:val="0"/>
        <w:spacing w:after="120"/>
        <w:ind w:left="1860"/>
        <w:rPr>
          <w:u w:val="single"/>
        </w:rPr>
      </w:pPr>
      <w:r>
        <w:rPr>
          <w:rFonts w:hint="eastAsia"/>
          <w:u w:val="single"/>
          <w:lang w:val="en-US" w:eastAsia="zh-CN"/>
        </w:rPr>
        <w:t xml:space="preserve">Otherwise, </w:t>
      </w:r>
    </w:p>
    <w:p w14:paraId="253611F5">
      <w:pPr>
        <w:numPr>
          <w:ilvl w:val="3"/>
          <w:numId w:val="1"/>
        </w:numPr>
        <w:snapToGrid w:val="0"/>
        <w:spacing w:after="120"/>
        <w:ind w:left="2280"/>
      </w:pPr>
      <w:r>
        <w:t>if all of the reference signals configured for RLM, BFD, CBD or L1-RSRP for beam reporting outside measurement gap are not fully overlapped by intra-frequency SMTC occasions</w:t>
      </w:r>
    </w:p>
    <w:p w14:paraId="265BB574">
      <w:pPr>
        <w:rPr>
          <w:b/>
          <w:u w:val="single"/>
          <w:lang w:val="en-US" w:eastAsia="zh-CN"/>
        </w:rPr>
      </w:pPr>
    </w:p>
    <w:p w14:paraId="274CE7A0">
      <w:pPr>
        <w:pStyle w:val="72"/>
        <w:overflowPunct/>
        <w:autoSpaceDE/>
        <w:autoSpaceDN/>
        <w:adjustRightInd/>
        <w:spacing w:after="120"/>
        <w:ind w:firstLine="0" w:firstLineChars="0"/>
        <w:textAlignment w:val="auto"/>
        <w:rPr>
          <w:rFonts w:eastAsia="宋体"/>
          <w:b/>
          <w:u w:val="single"/>
          <w:lang w:val="en-US" w:eastAsia="ko-KR"/>
        </w:rPr>
      </w:pPr>
      <w:r>
        <w:rPr>
          <w:rFonts w:hint="eastAsia" w:eastAsia="宋体"/>
          <w:b/>
          <w:u w:val="single"/>
          <w:lang w:val="en-US" w:eastAsia="zh-CN"/>
        </w:rPr>
        <w:t>Issue 1-3-2: Sharing factor between L1 measurement and RRM measurement - effective non-overlapping duration</w:t>
      </w:r>
    </w:p>
    <w:p w14:paraId="4C5EBFB6">
      <w:pPr>
        <w:pStyle w:val="72"/>
        <w:numPr>
          <w:ilvl w:val="0"/>
          <w:numId w:val="1"/>
        </w:numPr>
        <w:overflowPunct/>
        <w:autoSpaceDE/>
        <w:autoSpaceDN/>
        <w:adjustRightInd/>
        <w:spacing w:after="120"/>
        <w:ind w:left="720" w:firstLineChars="0"/>
        <w:textAlignment w:val="auto"/>
        <w:rPr>
          <w:rFonts w:eastAsia="宋体"/>
          <w:b/>
          <w:bCs/>
          <w:szCs w:val="24"/>
          <w:lang w:eastAsia="zh-CN"/>
        </w:rPr>
      </w:pPr>
      <w:r>
        <w:rPr>
          <w:rFonts w:eastAsia="宋体"/>
          <w:b/>
          <w:bCs/>
          <w:szCs w:val="24"/>
          <w:lang w:eastAsia="zh-CN"/>
        </w:rPr>
        <w:t>Proposals</w:t>
      </w:r>
    </w:p>
    <w:p w14:paraId="69ED9A1B">
      <w:pPr>
        <w:pStyle w:val="72"/>
        <w:numPr>
          <w:ilvl w:val="1"/>
          <w:numId w:val="1"/>
        </w:numPr>
        <w:overflowPunct/>
        <w:autoSpaceDE/>
        <w:autoSpaceDN/>
        <w:adjustRightInd/>
        <w:spacing w:after="120"/>
        <w:ind w:left="1440" w:firstLineChars="0"/>
        <w:textAlignment w:val="auto"/>
        <w:rPr>
          <w:rFonts w:eastAsiaTheme="minorEastAsia"/>
          <w:bCs/>
          <w:lang w:eastAsia="ko-KR" w:bidi="ar"/>
        </w:rPr>
      </w:pPr>
      <w:r>
        <w:rPr>
          <w:rFonts w:hint="eastAsia" w:eastAsiaTheme="minorEastAsia"/>
          <w:lang w:val="en-US" w:eastAsia="zh-CN"/>
        </w:rPr>
        <w:t xml:space="preserve">Proposal 1: For the </w:t>
      </w:r>
      <w:r>
        <w:rPr>
          <w:rFonts w:eastAsiaTheme="minorEastAsia"/>
          <w:lang w:val="en-US" w:eastAsia="zh-CN"/>
        </w:rPr>
        <w:t>‘</w:t>
      </w:r>
      <w:r>
        <w:t>SSB-ToMeasure and SS-RSSI-Measurement are configured</w:t>
      </w:r>
      <w:r>
        <w:rPr>
          <w:rFonts w:eastAsiaTheme="minorEastAsia"/>
          <w:lang w:val="en-US" w:eastAsia="zh-CN"/>
        </w:rPr>
        <w:t>’</w:t>
      </w:r>
      <w:r>
        <w:rPr>
          <w:rFonts w:hint="eastAsia" w:eastAsiaTheme="minorEastAsia"/>
          <w:lang w:val="en-US" w:eastAsia="zh-CN"/>
        </w:rPr>
        <w:t>, use MRTD as the reference when calculate the margin for non-overlapping duration</w:t>
      </w:r>
    </w:p>
    <w:p w14:paraId="5B3DFAB6">
      <w:pPr>
        <w:pStyle w:val="72"/>
        <w:numPr>
          <w:ilvl w:val="2"/>
          <w:numId w:val="1"/>
        </w:numPr>
        <w:overflowPunct/>
        <w:autoSpaceDE/>
        <w:autoSpaceDN/>
        <w:adjustRightInd/>
        <w:spacing w:after="120"/>
        <w:ind w:left="1860" w:firstLineChars="0"/>
        <w:textAlignment w:val="auto"/>
        <w:rPr>
          <w:rFonts w:eastAsiaTheme="minorEastAsia"/>
          <w:bCs/>
          <w:lang w:eastAsia="ko-KR" w:bidi="ar"/>
        </w:rPr>
      </w:pPr>
      <w:r>
        <w:rPr>
          <w:rFonts w:hint="eastAsia" w:eastAsiaTheme="minorEastAsia"/>
          <w:lang w:val="en-US" w:eastAsia="zh-CN"/>
        </w:rPr>
        <w:t>Proposal 1-1:</w:t>
      </w:r>
    </w:p>
    <w:p w14:paraId="73C81073">
      <w:pPr>
        <w:pStyle w:val="72"/>
        <w:numPr>
          <w:ilvl w:val="3"/>
          <w:numId w:val="1"/>
        </w:numPr>
        <w:overflowPunct/>
        <w:autoSpaceDE/>
        <w:autoSpaceDN/>
        <w:adjustRightInd/>
        <w:spacing w:after="120"/>
        <w:ind w:left="2280" w:firstLineChars="0"/>
        <w:textAlignment w:val="auto"/>
        <w:rPr>
          <w:rFonts w:eastAsiaTheme="minorEastAsia"/>
          <w:bCs/>
          <w:lang w:eastAsia="ko-KR" w:bidi="ar"/>
        </w:rPr>
      </w:pPr>
      <w:r>
        <w:rPr>
          <w:rFonts w:hint="eastAsia"/>
          <w:lang w:eastAsia="ko-KR"/>
        </w:rPr>
        <w:t xml:space="preserve">Consider impact on </w:t>
      </w:r>
      <w:r>
        <w:t>K</w:t>
      </w:r>
      <w:r>
        <w:rPr>
          <w:vertAlign w:val="subscript"/>
        </w:rPr>
        <w:t>layer1_measurement</w:t>
      </w:r>
      <w:r>
        <w:rPr>
          <w:rFonts w:hint="eastAsia"/>
          <w:lang w:eastAsia="ko-KR"/>
        </w:rPr>
        <w:t xml:space="preserve"> due to 33usec MRTD for Case 4 antenna type, e.g., </w:t>
      </w:r>
    </w:p>
    <w:p w14:paraId="5D2C010A">
      <w:pPr>
        <w:pStyle w:val="72"/>
        <w:numPr>
          <w:ilvl w:val="4"/>
          <w:numId w:val="1"/>
        </w:numPr>
        <w:overflowPunct/>
        <w:autoSpaceDE/>
        <w:autoSpaceDN/>
        <w:adjustRightInd/>
        <w:spacing w:after="120"/>
        <w:ind w:left="2700" w:firstLineChars="0"/>
        <w:textAlignment w:val="auto"/>
        <w:rPr>
          <w:rFonts w:eastAsiaTheme="minorEastAsia"/>
          <w:bCs/>
          <w:lang w:eastAsia="ko-KR" w:bidi="ar"/>
        </w:rPr>
      </w:pPr>
      <w: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highlight w:val="yellow"/>
          <w:lang w:eastAsia="ko-KR"/>
        </w:rPr>
        <w:t>2</w:t>
      </w:r>
      <w:r>
        <w:rPr>
          <w:highlight w:val="yellow"/>
        </w:rPr>
        <w:t xml:space="preserve"> symbol</w:t>
      </w:r>
      <w:r>
        <w:t xml:space="preserve"> before each consecutive SSB symbols and the RSSI symbols, and </w:t>
      </w:r>
      <w:r>
        <w:rPr>
          <w:rFonts w:hint="eastAsia"/>
          <w:highlight w:val="yellow"/>
          <w:lang w:eastAsia="ko-KR"/>
        </w:rPr>
        <w:t>2</w:t>
      </w:r>
      <w:r>
        <w:rPr>
          <w:highlight w:val="yellow"/>
        </w:rPr>
        <w:t xml:space="preserve"> symbol</w:t>
      </w:r>
      <w:r>
        <w:t xml:space="preserve"> after each consecutive SSB symbols and the RSSI symbols </w:t>
      </w:r>
      <w:r>
        <w:rPr>
          <w:rFonts w:hint="eastAsia"/>
          <w:highlight w:val="yellow"/>
          <w:lang w:eastAsia="ko-KR"/>
        </w:rPr>
        <w:t>of</w:t>
      </w:r>
      <w:r>
        <w:rPr>
          <w:highlight w:val="yellow"/>
        </w:rPr>
        <w:t xml:space="preserve"> serving cell</w:t>
      </w:r>
      <w:r>
        <w:rPr>
          <w:rFonts w:hint="eastAsia"/>
          <w:highlight w:val="yellow"/>
          <w:lang w:eastAsia="ko-KR"/>
        </w:rPr>
        <w:t>s</w:t>
      </w:r>
      <w:r>
        <w:rPr>
          <w:highlight w:val="yellow"/>
        </w:rPr>
        <w:t xml:space="preserve"> when inter-band carrier aggregation within FR1 is configured and UE support</w:t>
      </w:r>
      <w:r>
        <w:rPr>
          <w:rFonts w:hint="eastAsia"/>
          <w:highlight w:val="yellow"/>
          <w:lang w:eastAsia="ko-KR"/>
        </w:rPr>
        <w:t>s</w:t>
      </w:r>
      <w:r>
        <w:rPr>
          <w:highlight w:val="yellow"/>
        </w:rPr>
        <w:t xml:space="preserve"> </w:t>
      </w:r>
      <w:r>
        <w:rPr>
          <w:rFonts w:hint="eastAsia"/>
          <w:highlight w:val="yellow"/>
          <w:lang w:eastAsia="ko-KR"/>
        </w:rPr>
        <w:t>[</w:t>
      </w:r>
      <w:r>
        <w:rPr>
          <w:highlight w:val="yellow"/>
        </w:rPr>
        <w:t>capability of case 4]</w:t>
      </w:r>
      <w:r>
        <w:t>, given that SSB-ToMeasure and SS-RSSI-Measurement are configured, where SSB symbols are indicated by the union set of SSB-ToMeasure from all the configured measurement objects on the same serving carrier which can be merged. and RSSI symbols are indicated by SS-RSSI-Measurement</w:t>
      </w:r>
    </w:p>
    <w:p w14:paraId="7C30C0CF">
      <w:pPr>
        <w:pStyle w:val="72"/>
        <w:numPr>
          <w:ilvl w:val="2"/>
          <w:numId w:val="1"/>
        </w:numPr>
        <w:overflowPunct/>
        <w:autoSpaceDE/>
        <w:autoSpaceDN/>
        <w:adjustRightInd/>
        <w:spacing w:after="120"/>
        <w:ind w:left="1860" w:firstLineChars="0"/>
        <w:textAlignment w:val="auto"/>
        <w:rPr>
          <w:rFonts w:eastAsiaTheme="minorEastAsia"/>
          <w:bCs/>
          <w:lang w:eastAsia="ko-KR" w:bidi="ar"/>
        </w:rPr>
      </w:pPr>
      <w:r>
        <w:rPr>
          <w:rFonts w:hint="eastAsia" w:eastAsiaTheme="minorEastAsia"/>
          <w:bCs/>
          <w:lang w:val="en-US" w:eastAsia="zh-CN" w:bidi="ar"/>
        </w:rPr>
        <w:t xml:space="preserve">Proposal 1-2: </w:t>
      </w:r>
    </w:p>
    <w:p w14:paraId="7561BFC7">
      <w:pPr>
        <w:pStyle w:val="72"/>
        <w:numPr>
          <w:ilvl w:val="3"/>
          <w:numId w:val="1"/>
        </w:numPr>
        <w:overflowPunct/>
        <w:autoSpaceDE/>
        <w:autoSpaceDN/>
        <w:adjustRightInd/>
        <w:spacing w:after="120"/>
        <w:ind w:left="2280" w:firstLineChars="0"/>
        <w:textAlignment w:val="auto"/>
        <w:rPr>
          <w:lang w:eastAsia="zh-CN"/>
        </w:rPr>
      </w:pPr>
      <w:r>
        <w:rPr>
          <w:lang w:eastAsia="zh-CN"/>
        </w:rPr>
        <w:t xml:space="preserve">For UE </w:t>
      </w:r>
      <w:r>
        <w:rPr>
          <w:rFonts w:hint="eastAsia"/>
          <w:lang w:val="en-US" w:eastAsia="zh-CN"/>
        </w:rPr>
        <w:t>capable of [</w:t>
      </w:r>
      <w:r>
        <w:t>antennaArrayType-r1</w:t>
      </w:r>
      <w:r>
        <w:rPr>
          <w:rFonts w:hint="eastAsia" w:eastAsia="宋体"/>
          <w:lang w:val="en-US" w:eastAsia="zh-CN"/>
        </w:rPr>
        <w:t>8] and [</w:t>
      </w:r>
      <w:r>
        <w:t>intra-band</w:t>
      </w:r>
      <w:r>
        <w:rPr>
          <w:rFonts w:hint="eastAsia" w:eastAsia="宋体"/>
          <w:lang w:val="en-US" w:eastAsia="zh-CN"/>
        </w:rPr>
        <w:t xml:space="preserve"> or inter-band</w:t>
      </w:r>
      <w:r>
        <w:t xml:space="preserve"> carrier aggregation is </w:t>
      </w:r>
      <w:r>
        <w:rPr>
          <w:rFonts w:hint="eastAsia" w:eastAsia="宋体"/>
          <w:lang w:val="en-US" w:eastAsia="zh-CN"/>
        </w:rPr>
        <w:t>configured]</w:t>
      </w:r>
      <w:r>
        <w:rPr>
          <w:lang w:eastAsia="zh-CN"/>
        </w:rPr>
        <w:t>,</w:t>
      </w:r>
    </w:p>
    <w:p w14:paraId="42073BCA">
      <w:pPr>
        <w:pStyle w:val="72"/>
        <w:numPr>
          <w:ilvl w:val="4"/>
          <w:numId w:val="1"/>
        </w:numPr>
        <w:overflowPunct/>
        <w:autoSpaceDE/>
        <w:autoSpaceDN/>
        <w:adjustRightInd/>
        <w:spacing w:after="120"/>
        <w:ind w:left="2700" w:firstLineChars="0"/>
        <w:textAlignment w:val="auto"/>
        <w:rPr>
          <w:lang w:eastAsia="zh-CN"/>
        </w:rPr>
      </w:pPr>
      <w:r>
        <w:t>K</w:t>
      </w:r>
      <w:r>
        <w:rPr>
          <w:vertAlign w:val="subscript"/>
        </w:rPr>
        <w:t>layer1_measurement</w:t>
      </w:r>
      <w:r>
        <w:t xml:space="preserve">=1, </w:t>
      </w:r>
    </w:p>
    <w:p w14:paraId="2A8D9006">
      <w:pPr>
        <w:pStyle w:val="72"/>
        <w:numPr>
          <w:ilvl w:val="5"/>
          <w:numId w:val="1"/>
        </w:numPr>
        <w:overflowPunct/>
        <w:autoSpaceDE/>
        <w:autoSpaceDN/>
        <w:adjustRightInd/>
        <w:spacing w:after="120"/>
        <w:ind w:left="3120" w:firstLineChars="0"/>
        <w:textAlignment w:val="auto"/>
      </w:pPr>
      <w:r>
        <w:t>-</w:t>
      </w:r>
      <w:r>
        <w:tab/>
      </w:r>
      <w:r>
        <w:t xml:space="preserve">if all of the reference signal configured for RLM, BFD, CBD or L1-RSRP for beam reporting </w:t>
      </w:r>
      <w:r>
        <w:rPr>
          <w:rFonts w:hint="eastAsia"/>
          <w:highlight w:val="yellow"/>
          <w:lang w:val="en-US" w:eastAsia="zh-CN"/>
        </w:rPr>
        <w:t xml:space="preserve">on any serving frequency in the same band </w:t>
      </w:r>
      <w:r>
        <w:t xml:space="preserve">outside measurement gap and fully-overlapped by intra-frequency SMTC occasions are not overlapped with any of the SSB symbols and the RSSI symbols, and </w:t>
      </w:r>
      <w:r>
        <w:rPr>
          <w:highlight w:val="yellow"/>
        </w:rPr>
        <w:t>1</w:t>
      </w:r>
      <w:r>
        <w:t xml:space="preserve"> symbol before each consecutive SSB symbols and the RSSI symbols, and </w:t>
      </w:r>
      <w:r>
        <w:rPr>
          <w:highlight w:val="yellow"/>
        </w:rPr>
        <w:t>1</w:t>
      </w:r>
      <w:r>
        <w:t xml:space="preserve"> symbol after each consecutive SSB symbols and the RSSI symbols, given that SSB-ToMeasure and SS-RSSI-Measurement are configured, where SSB symbols are indicated by the union set of SSB-ToMeasure from all the configured measurement objects on the same serving carrier which can be merged. and RSSI symbols are indicated by SS-RSSI-Measurement</w:t>
      </w:r>
      <w:r>
        <w:rPr>
          <w:rFonts w:hint="eastAsia"/>
          <w:lang w:val="en-US" w:eastAsia="zh-CN"/>
        </w:rPr>
        <w:t>, or</w:t>
      </w:r>
      <w:r>
        <w:t>;</w:t>
      </w:r>
    </w:p>
    <w:p w14:paraId="13DAEF47">
      <w:pPr>
        <w:pStyle w:val="72"/>
        <w:numPr>
          <w:ilvl w:val="5"/>
          <w:numId w:val="1"/>
        </w:numPr>
        <w:overflowPunct/>
        <w:autoSpaceDE/>
        <w:autoSpaceDN/>
        <w:adjustRightInd/>
        <w:spacing w:after="120"/>
        <w:ind w:left="3120" w:firstLineChars="0"/>
        <w:textAlignment w:val="auto"/>
      </w:pPr>
      <w:r>
        <w:t>-</w:t>
      </w:r>
      <w:r>
        <w:tab/>
      </w:r>
      <w:r>
        <w:t xml:space="preserve">if all of the reference signal configured for RLM, BFD, CBD or L1-RSRP for beam reporting </w:t>
      </w:r>
      <w:r>
        <w:rPr>
          <w:rFonts w:hint="eastAsia"/>
          <w:highlight w:val="yellow"/>
          <w:lang w:val="en-US" w:eastAsia="zh-CN"/>
        </w:rPr>
        <w:t xml:space="preserve">on any serving frequency in different band </w:t>
      </w:r>
      <w:r>
        <w:t xml:space="preserve">outside measurement gap and fully-overlapped by intra-frequency SMTC occasions are not overlapped with any of the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before each consecutive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after each consecutive SSB symbols and the RSSI symbols, given that SSB-ToMeasure and SS-RSSI-Measurement are configured</w:t>
      </w:r>
      <w:r>
        <w:rPr>
          <w:rFonts w:hint="eastAsia"/>
          <w:lang w:val="en-US" w:eastAsia="zh-CN"/>
        </w:rPr>
        <w:t xml:space="preserve"> </w:t>
      </w:r>
      <w:r>
        <w:rPr>
          <w:rFonts w:hint="eastAsia"/>
          <w:highlight w:val="yellow"/>
          <w:lang w:val="en-US" w:eastAsia="zh-CN"/>
        </w:rPr>
        <w:t>and the UE is capable of [common Rx beam between PCC band and SCC band]</w:t>
      </w:r>
      <w:r>
        <w:t>, where SSB symbols are indicated by the union set of SSB-ToMeasure from all the configured measurement objects on the same serving carrier which can be merged. and RSSI symbols are indicated by SS-RSSI-Measurement</w:t>
      </w:r>
      <w:r>
        <w:rPr>
          <w:rFonts w:hint="eastAsia"/>
          <w:lang w:val="en-US" w:eastAsia="zh-CN"/>
        </w:rPr>
        <w:t>, or</w:t>
      </w:r>
      <w:r>
        <w:t>;</w:t>
      </w:r>
    </w:p>
    <w:p w14:paraId="511A3A01">
      <w:pPr>
        <w:pStyle w:val="72"/>
        <w:numPr>
          <w:ilvl w:val="1"/>
          <w:numId w:val="1"/>
        </w:numPr>
        <w:overflowPunct/>
        <w:autoSpaceDE/>
        <w:autoSpaceDN/>
        <w:adjustRightInd/>
        <w:spacing w:after="120"/>
        <w:ind w:left="1440" w:firstLineChars="0"/>
        <w:textAlignment w:val="auto"/>
        <w:rPr>
          <w:rFonts w:eastAsiaTheme="minorEastAsia"/>
          <w:bCs/>
          <w:lang w:eastAsia="ko-KR" w:bidi="ar"/>
        </w:rPr>
      </w:pPr>
      <w:r>
        <w:rPr>
          <w:rFonts w:hint="eastAsia" w:eastAsiaTheme="minorEastAsia"/>
          <w:lang w:val="en-US" w:eastAsia="zh-CN"/>
        </w:rPr>
        <w:t>Proposal 2:</w:t>
      </w:r>
    </w:p>
    <w:p w14:paraId="76300F94">
      <w:pPr>
        <w:pStyle w:val="72"/>
        <w:numPr>
          <w:ilvl w:val="2"/>
          <w:numId w:val="1"/>
        </w:numPr>
        <w:overflowPunct/>
        <w:autoSpaceDE/>
        <w:autoSpaceDN/>
        <w:adjustRightInd/>
        <w:spacing w:after="120"/>
        <w:ind w:left="1860" w:firstLineChars="0"/>
        <w:textAlignment w:val="auto"/>
        <w:rPr>
          <w:rFonts w:eastAsia="宋体"/>
          <w:lang w:val="en-US" w:eastAsia="zh-CN"/>
        </w:rPr>
      </w:pPr>
      <w:r>
        <w:rPr>
          <w:rFonts w:hint="eastAsia" w:eastAsia="等线"/>
          <w:lang w:val="en-US" w:eastAsia="zh-CN"/>
        </w:rPr>
        <w:t xml:space="preserve">Firstly align the understanding about the reference timing of SSB symbols and the RSSI symbols in the definition of </w:t>
      </w:r>
      <w:r>
        <w:t>K</w:t>
      </w:r>
      <w:r>
        <w:rPr>
          <w:vertAlign w:val="subscript"/>
        </w:rPr>
        <w:t>layer1_measurement</w:t>
      </w:r>
      <w:r>
        <w:rPr>
          <w:rFonts w:hint="eastAsia" w:eastAsia="宋体"/>
          <w:lang w:val="en-US" w:eastAsia="zh-CN"/>
        </w:rPr>
        <w:t>.</w:t>
      </w:r>
    </w:p>
    <w:p w14:paraId="2CD28B17">
      <w:pPr>
        <w:pStyle w:val="72"/>
        <w:numPr>
          <w:ilvl w:val="3"/>
          <w:numId w:val="1"/>
        </w:numPr>
        <w:overflowPunct/>
        <w:autoSpaceDE/>
        <w:autoSpaceDN/>
        <w:adjustRightInd/>
        <w:spacing w:after="120"/>
        <w:ind w:left="2280" w:firstLineChars="0"/>
        <w:textAlignment w:val="auto"/>
        <w:rPr>
          <w:rFonts w:eastAsia="等线"/>
          <w:lang w:val="en-US" w:eastAsia="zh-CN"/>
        </w:rPr>
      </w:pPr>
      <w:r>
        <w:rPr>
          <w:rFonts w:hint="eastAsia" w:eastAsia="等线"/>
          <w:lang w:val="en-US" w:eastAsia="zh-CN"/>
        </w:rPr>
        <w:t>If the serving cell timing is used as the reference timing of SSB symbols and the RSSI symbols, then extend the margin considering the maximum propagation delay difference between serving cell and neighbour cells.</w:t>
      </w:r>
    </w:p>
    <w:p w14:paraId="242EC19B">
      <w:pPr>
        <w:pStyle w:val="72"/>
        <w:numPr>
          <w:ilvl w:val="3"/>
          <w:numId w:val="1"/>
        </w:numPr>
        <w:overflowPunct/>
        <w:autoSpaceDE/>
        <w:autoSpaceDN/>
        <w:adjustRightInd/>
        <w:spacing w:after="120"/>
        <w:ind w:left="2280" w:firstLineChars="0"/>
        <w:textAlignment w:val="auto"/>
        <w:rPr>
          <w:rFonts w:eastAsiaTheme="minorEastAsia"/>
          <w:lang w:eastAsia="ko-KR" w:bidi="ar"/>
        </w:rPr>
      </w:pPr>
      <w:r>
        <w:rPr>
          <w:rFonts w:hint="eastAsia" w:eastAsia="等线"/>
          <w:lang w:val="en-US" w:eastAsia="zh-CN"/>
        </w:rPr>
        <w:t>If the neighbour cell timing is used as the reference timing of SSB symbols and the RSSI symbols, then reuse the legacy 1 symbol margin</w:t>
      </w:r>
    </w:p>
    <w:p w14:paraId="30C61F64">
      <w:pPr>
        <w:pStyle w:val="72"/>
        <w:numPr>
          <w:ilvl w:val="1"/>
          <w:numId w:val="1"/>
        </w:numPr>
        <w:overflowPunct/>
        <w:autoSpaceDE/>
        <w:autoSpaceDN/>
        <w:adjustRightInd/>
        <w:spacing w:after="120"/>
        <w:ind w:left="1440" w:firstLineChars="0"/>
        <w:textAlignment w:val="auto"/>
        <w:rPr>
          <w:rFonts w:eastAsiaTheme="minorEastAsia"/>
          <w:bCs/>
          <w:lang w:eastAsia="ko-KR" w:bidi="ar"/>
        </w:rPr>
      </w:pPr>
      <w:r>
        <w:rPr>
          <w:rFonts w:hint="eastAsia" w:eastAsiaTheme="minorEastAsia"/>
          <w:lang w:val="en-US" w:eastAsia="zh-CN"/>
        </w:rPr>
        <w:t>Proposal 3:</w:t>
      </w:r>
    </w:p>
    <w:p w14:paraId="3BAF0F21">
      <w:pPr>
        <w:pStyle w:val="72"/>
        <w:numPr>
          <w:ilvl w:val="2"/>
          <w:numId w:val="1"/>
        </w:numPr>
        <w:overflowPunct/>
        <w:autoSpaceDE/>
        <w:autoSpaceDN/>
        <w:adjustRightInd/>
        <w:spacing w:after="120"/>
        <w:ind w:left="1860" w:firstLineChars="0"/>
        <w:textAlignment w:val="auto"/>
        <w:rPr>
          <w:rFonts w:eastAsiaTheme="minorEastAsia"/>
          <w:bCs/>
          <w:lang w:eastAsia="ko-KR" w:bidi="ar"/>
        </w:rPr>
      </w:pPr>
      <w:bookmarkStart w:id="0" w:name="_Toc197710749"/>
      <w:r>
        <w:rPr>
          <w:lang w:val="en-US"/>
        </w:rPr>
        <w:t xml:space="preserve">reuse the legacy specification, i.e.  </w:t>
      </w:r>
    </w:p>
    <w:p w14:paraId="45E4299F">
      <w:pPr>
        <w:pStyle w:val="72"/>
        <w:numPr>
          <w:ilvl w:val="3"/>
          <w:numId w:val="1"/>
        </w:numPr>
        <w:overflowPunct/>
        <w:autoSpaceDE/>
        <w:autoSpaceDN/>
        <w:adjustRightInd/>
        <w:spacing w:after="120"/>
        <w:ind w:left="2280" w:firstLineChars="0"/>
        <w:textAlignment w:val="auto"/>
        <w:rPr>
          <w:rFonts w:eastAsiaTheme="minorEastAsia"/>
          <w:bCs/>
          <w:lang w:eastAsia="ko-KR" w:bidi="ar"/>
        </w:rPr>
      </w:pPr>
      <w:r>
        <w:rPr>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SSB-ToMeasure and SS-RSSI-Measurement are configured, where SSB symbols are indicated by the union set of SSB-ToMeasure from all the configured measurement objects on the same serving carrier which can be merged. and RSSI symbols are indicated by SS-RSSI-Measurement</w:t>
      </w:r>
      <w:bookmarkEnd w:id="0"/>
    </w:p>
    <w:p w14:paraId="5D1DA149">
      <w:pPr>
        <w:rPr>
          <w:b/>
          <w:u w:val="single"/>
          <w:lang w:val="en-US" w:eastAsia="zh-CN"/>
        </w:rPr>
      </w:pPr>
    </w:p>
    <w:p w14:paraId="54C15645">
      <w:pPr>
        <w:rPr>
          <w:b/>
          <w:sz w:val="21"/>
          <w:szCs w:val="21"/>
          <w:u w:val="single"/>
          <w:lang w:val="en-US" w:eastAsia="zh-CN"/>
        </w:rPr>
      </w:pPr>
      <w:r>
        <w:rPr>
          <w:b/>
          <w:sz w:val="21"/>
          <w:szCs w:val="21"/>
          <w:u w:val="single"/>
          <w:lang w:eastAsia="ko-KR"/>
        </w:rPr>
        <w:t>Issue 1-</w:t>
      </w:r>
      <w:r>
        <w:rPr>
          <w:b/>
          <w:sz w:val="21"/>
          <w:szCs w:val="21"/>
          <w:u w:val="single"/>
          <w:lang w:val="en-US" w:eastAsia="zh-CN"/>
        </w:rPr>
        <w:t>3-3 Measurement enhancement for ATG UE with antenna array</w:t>
      </w:r>
    </w:p>
    <w:p w14:paraId="18176C5C">
      <w:pPr>
        <w:rPr>
          <w:rFonts w:hint="eastAsia" w:eastAsia="宋体"/>
          <w:szCs w:val="24"/>
          <w:highlight w:val="green"/>
          <w:lang w:val="en-US" w:eastAsia="zh-CN"/>
        </w:rPr>
      </w:pPr>
      <w:r>
        <w:rPr>
          <w:rFonts w:hint="eastAsia" w:eastAsia="宋体"/>
          <w:szCs w:val="24"/>
          <w:highlight w:val="green"/>
          <w:lang w:val="en-US" w:eastAsia="zh-CN"/>
        </w:rPr>
        <w:t>Agreement:</w:t>
      </w:r>
    </w:p>
    <w:p w14:paraId="1E92DC02">
      <w:pPr>
        <w:pStyle w:val="72"/>
        <w:numPr>
          <w:ilvl w:val="0"/>
          <w:numId w:val="1"/>
        </w:numPr>
        <w:overflowPunct/>
        <w:autoSpaceDE/>
        <w:autoSpaceDN/>
        <w:adjustRightInd/>
        <w:spacing w:after="120"/>
        <w:ind w:left="1020" w:firstLineChars="0"/>
        <w:textAlignment w:val="auto"/>
        <w:rPr>
          <w:rFonts w:hint="eastAsia" w:ascii="Times New Roman" w:hAnsi="Times New Roman" w:eastAsia="宋体" w:cs="Times New Roman"/>
          <w:szCs w:val="20"/>
          <w:lang w:val="en-US" w:eastAsia="ko-KR"/>
        </w:rPr>
      </w:pPr>
      <w:r>
        <w:rPr>
          <w:rFonts w:hint="eastAsia" w:ascii="Times New Roman" w:hAnsi="Times New Roman" w:eastAsia="宋体" w:cs="Times New Roman"/>
          <w:sz w:val="20"/>
          <w:lang w:val="en-US" w:eastAsia="ko-KR"/>
        </w:rPr>
        <w:t xml:space="preserve">introduce a network signaling to indicate whether an ATG UE supporting </w:t>
      </w:r>
      <w:r>
        <w:rPr>
          <w:rFonts w:hint="eastAsia" w:ascii="Times New Roman" w:hAnsi="Times New Roman" w:eastAsia="宋体" w:cs="Times New Roman"/>
          <w:i w:val="0"/>
          <w:iCs w:val="0"/>
          <w:sz w:val="20"/>
          <w:lang w:val="en-US" w:eastAsia="ko-KR"/>
        </w:rPr>
        <w:t>antennaArrayType-r18</w:t>
      </w:r>
      <w:r>
        <w:rPr>
          <w:rFonts w:hint="eastAsia" w:ascii="Times New Roman" w:hAnsi="Times New Roman" w:eastAsia="宋体" w:cs="Times New Roman"/>
          <w:sz w:val="20"/>
          <w:lang w:val="en-US" w:eastAsia="ko-KR"/>
        </w:rPr>
        <w:t xml:space="preserve"> on the SCC shall perform the neighbour cell measurements or not on the frequency configured by </w:t>
      </w:r>
      <w:r>
        <w:rPr>
          <w:rFonts w:hint="eastAsia" w:ascii="Times New Roman" w:hAnsi="Times New Roman" w:eastAsia="宋体" w:cs="Times New Roman"/>
          <w:i w:val="0"/>
          <w:iCs w:val="0"/>
          <w:sz w:val="20"/>
          <w:lang w:val="en-US" w:eastAsia="ko-KR"/>
        </w:rPr>
        <w:t>servingcellMO</w:t>
      </w:r>
      <w:r>
        <w:rPr>
          <w:rFonts w:hint="eastAsia" w:ascii="Times New Roman" w:hAnsi="Times New Roman" w:eastAsia="宋体" w:cs="Times New Roman"/>
          <w:sz w:val="20"/>
          <w:lang w:val="en-US" w:eastAsia="ko-KR"/>
        </w:rPr>
        <w:t xml:space="preserve"> for SCC, i.e. to indicate whether the UE is only required to measure the serving cell or both serving and neighbour cell on the frequency configured by </w:t>
      </w:r>
      <w:r>
        <w:rPr>
          <w:rFonts w:hint="eastAsia" w:ascii="Times New Roman" w:hAnsi="Times New Roman" w:eastAsia="宋体" w:cs="Times New Roman"/>
          <w:i w:val="0"/>
          <w:iCs w:val="0"/>
          <w:sz w:val="20"/>
          <w:lang w:val="en-US" w:eastAsia="ko-KR"/>
        </w:rPr>
        <w:t>servingCellMO</w:t>
      </w:r>
      <w:r>
        <w:rPr>
          <w:rFonts w:hint="eastAsia" w:ascii="Times New Roman" w:hAnsi="Times New Roman" w:eastAsia="宋体" w:cs="Times New Roman"/>
          <w:sz w:val="20"/>
          <w:lang w:val="en-US" w:eastAsia="ko-KR"/>
        </w:rPr>
        <w:t xml:space="preserve"> for SCC</w:t>
      </w:r>
      <w:bookmarkStart w:id="1" w:name="_GoBack"/>
      <w:bookmarkEnd w:id="1"/>
    </w:p>
    <w:p w14:paraId="68B8978E">
      <w:pPr>
        <w:rPr>
          <w:b/>
          <w:u w:val="single"/>
          <w:lang w:val="en-US" w:eastAsia="zh-CN"/>
        </w:rPr>
      </w:pPr>
    </w:p>
    <w:p w14:paraId="0C9B1F0C">
      <w:pPr>
        <w:pStyle w:val="2"/>
        <w:rPr>
          <w:lang w:val="en-US" w:eastAsia="zh-CN"/>
        </w:rPr>
      </w:pPr>
      <w:r>
        <w:t xml:space="preserve">&lt;Topic </w:t>
      </w:r>
      <w:r>
        <w:rPr>
          <w:lang w:val="en-US" w:eastAsia="zh-CN"/>
        </w:rPr>
        <w:t>2</w:t>
      </w:r>
      <w:r>
        <w:t>&gt;</w:t>
      </w:r>
      <w:r>
        <w:rPr>
          <w:lang w:val="en-US" w:eastAsia="zh-CN"/>
        </w:rPr>
        <w:t xml:space="preserve"> RRM perf requirement</w:t>
      </w:r>
    </w:p>
    <w:p w14:paraId="3602B786">
      <w:pPr>
        <w:rPr>
          <w:b/>
          <w:u w:val="single"/>
          <w:lang w:val="en-US" w:eastAsia="zh-CN"/>
        </w:rPr>
      </w:pPr>
      <w:r>
        <w:rPr>
          <w:rFonts w:hint="eastAsia"/>
          <w:b/>
          <w:u w:val="single"/>
          <w:lang w:val="en-US" w:eastAsia="zh-CN"/>
        </w:rPr>
        <w:t>Issue 2-1-1: Test applicability rule</w:t>
      </w:r>
    </w:p>
    <w:p w14:paraId="214750F2">
      <w:pPr>
        <w:pStyle w:val="72"/>
        <w:numPr>
          <w:ilvl w:val="1"/>
          <w:numId w:val="1"/>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 xml:space="preserve">Proposal </w:t>
      </w:r>
      <w:r>
        <w:rPr>
          <w:rFonts w:eastAsia="宋体"/>
          <w:szCs w:val="24"/>
          <w:lang w:val="en-US" w:eastAsia="zh-CN"/>
        </w:rPr>
        <w:t>1</w:t>
      </w:r>
      <w:r>
        <w:rPr>
          <w:rFonts w:hint="eastAsia" w:eastAsia="宋体"/>
          <w:szCs w:val="24"/>
          <w:lang w:val="en-US" w:eastAsia="zh-CN"/>
        </w:rPr>
        <w:t>:</w:t>
      </w:r>
    </w:p>
    <w:p w14:paraId="47F90F68">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val="en-US" w:eastAsia="zh-CN"/>
        </w:rPr>
        <w:t>UE is only required to be tested in one of the supported test configurations</w:t>
      </w:r>
    </w:p>
    <w:p w14:paraId="38D0EB2A">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val="en-US" w:eastAsia="zh-CN"/>
        </w:rPr>
        <w:t xml:space="preserve">UE is only required to be tested in one with smallest aggregated channel bandwidth from supported band combinations which is composed of CCs </w:t>
      </w:r>
      <w:r>
        <w:rPr>
          <w:rFonts w:ascii="Arial" w:hAnsi="Arial" w:eastAsia="宋体" w:cs="Arial"/>
          <w:bCs/>
          <w:lang w:val="en-US" w:eastAsia="zh-CN"/>
        </w:rPr>
        <w:t>≥</w:t>
      </w:r>
      <w:r>
        <w:rPr>
          <w:rFonts w:hint="eastAsia" w:eastAsia="宋体"/>
          <w:bCs/>
          <w:lang w:val="en-US" w:eastAsia="zh-CN"/>
        </w:rPr>
        <w:t xml:space="preserve"> the bandwidth (BW</w:t>
      </w:r>
      <w:r>
        <w:rPr>
          <w:rFonts w:hint="eastAsia" w:eastAsia="宋体"/>
          <w:bCs/>
          <w:vertAlign w:val="subscript"/>
          <w:lang w:val="en-US" w:eastAsia="zh-CN"/>
        </w:rPr>
        <w:t>channel</w:t>
      </w:r>
      <w:r>
        <w:rPr>
          <w:rFonts w:hint="eastAsia" w:eastAsia="宋体"/>
          <w:bCs/>
          <w:lang w:val="en-US" w:eastAsia="zh-CN"/>
        </w:rPr>
        <w:t>) defined in each test configuration</w:t>
      </w:r>
    </w:p>
    <w:p w14:paraId="41DA70B1">
      <w:pPr>
        <w:pStyle w:val="72"/>
        <w:numPr>
          <w:ilvl w:val="1"/>
          <w:numId w:val="1"/>
        </w:numPr>
        <w:overflowPunct/>
        <w:autoSpaceDE/>
        <w:autoSpaceDN/>
        <w:adjustRightInd/>
        <w:spacing w:after="120"/>
        <w:ind w:left="1440" w:firstLineChars="0"/>
        <w:textAlignment w:val="auto"/>
        <w:rPr>
          <w:rFonts w:eastAsia="宋体"/>
          <w:bCs/>
          <w:lang w:val="en-US" w:eastAsia="zh-CN"/>
        </w:rPr>
      </w:pPr>
      <w:r>
        <w:rPr>
          <w:rFonts w:hint="eastAsia" w:eastAsia="宋体"/>
          <w:bCs/>
          <w:lang w:val="en-US" w:eastAsia="zh-CN"/>
        </w:rPr>
        <w:t>Proposal 2:</w:t>
      </w:r>
    </w:p>
    <w:p w14:paraId="7422063F">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val="en-US" w:eastAsia="zh-CN"/>
        </w:rPr>
        <w:t>Test configuration for NR PCell and test configuration for NR SCell shall be chosen independently</w:t>
      </w:r>
    </w:p>
    <w:p w14:paraId="585697D2">
      <w:pPr>
        <w:rPr>
          <w:b/>
          <w:sz w:val="21"/>
          <w:szCs w:val="21"/>
          <w:u w:val="single"/>
          <w:lang w:val="en-US" w:eastAsia="zh-CN"/>
        </w:rPr>
      </w:pPr>
    </w:p>
    <w:p w14:paraId="0D0B33BA">
      <w:pPr>
        <w:rPr>
          <w:b/>
          <w:u w:val="single"/>
          <w:lang w:val="en-US" w:eastAsia="zh-CN"/>
        </w:rPr>
      </w:pPr>
      <w:r>
        <w:rPr>
          <w:rFonts w:hint="eastAsia"/>
          <w:b/>
          <w:u w:val="single"/>
          <w:lang w:val="en-US" w:eastAsia="zh-CN"/>
        </w:rPr>
        <w:t>Issue 2-1-2: Test setups - TDD pattern for SCell</w:t>
      </w:r>
    </w:p>
    <w:p w14:paraId="01CC1149">
      <w:pPr>
        <w:pStyle w:val="72"/>
        <w:numPr>
          <w:ilvl w:val="1"/>
          <w:numId w:val="1"/>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 xml:space="preserve">Proposal </w:t>
      </w:r>
      <w:r>
        <w:rPr>
          <w:rFonts w:eastAsia="宋体"/>
          <w:szCs w:val="24"/>
          <w:lang w:val="en-US" w:eastAsia="zh-CN"/>
        </w:rPr>
        <w:t>1</w:t>
      </w:r>
      <w:r>
        <w:rPr>
          <w:rFonts w:hint="eastAsia" w:eastAsia="宋体"/>
          <w:szCs w:val="24"/>
          <w:lang w:val="en-US" w:eastAsia="zh-CN"/>
        </w:rPr>
        <w:t>: Reuse the legacy TDD pattern (CATT, LGE, CMCC, ZTE)</w:t>
      </w:r>
    </w:p>
    <w:p w14:paraId="0CBFBF2A">
      <w:pPr>
        <w:pStyle w:val="72"/>
        <w:numPr>
          <w:ilvl w:val="2"/>
          <w:numId w:val="1"/>
        </w:numPr>
        <w:overflowPunct/>
        <w:autoSpaceDE/>
        <w:autoSpaceDN/>
        <w:adjustRightInd/>
        <w:spacing w:after="120"/>
        <w:ind w:left="1860" w:firstLineChars="0"/>
        <w:textAlignment w:val="auto"/>
        <w:rPr>
          <w:rFonts w:eastAsia="宋体"/>
          <w:szCs w:val="24"/>
          <w:lang w:val="en-US" w:eastAsia="zh-CN"/>
        </w:rPr>
      </w:pPr>
      <w:r>
        <w:rPr>
          <w:rFonts w:hint="eastAsia" w:eastAsia="宋体"/>
          <w:szCs w:val="24"/>
          <w:lang w:val="en-US" w:eastAsia="zh-CN"/>
        </w:rPr>
        <w:t>Proposal 1-1: (CATT)</w:t>
      </w:r>
    </w:p>
    <w:p w14:paraId="33157717">
      <w:pPr>
        <w:pStyle w:val="72"/>
        <w:numPr>
          <w:ilvl w:val="3"/>
          <w:numId w:val="1"/>
        </w:numPr>
        <w:overflowPunct/>
        <w:autoSpaceDE/>
        <w:autoSpaceDN/>
        <w:adjustRightInd/>
        <w:spacing w:after="120"/>
        <w:ind w:left="2280" w:firstLineChars="0"/>
        <w:textAlignment w:val="auto"/>
        <w:rPr>
          <w:rFonts w:eastAsia="宋体"/>
          <w:bCs/>
          <w:lang w:val="en-US" w:eastAsia="zh-CN"/>
        </w:rPr>
      </w:pPr>
      <w:r>
        <w:rPr>
          <w:rFonts w:hint="eastAsia" w:eastAsia="宋体"/>
          <w:bCs/>
          <w:lang w:val="en-US" w:eastAsia="zh-CN"/>
        </w:rPr>
        <w:t>For intra-band CA, TDD pattern for SCell need to be the same with PCell.</w:t>
      </w:r>
    </w:p>
    <w:p w14:paraId="59868D1A">
      <w:pPr>
        <w:pStyle w:val="72"/>
        <w:numPr>
          <w:ilvl w:val="3"/>
          <w:numId w:val="1"/>
        </w:numPr>
        <w:overflowPunct/>
        <w:autoSpaceDE/>
        <w:autoSpaceDN/>
        <w:adjustRightInd/>
        <w:spacing w:after="120"/>
        <w:ind w:left="2280" w:firstLineChars="0"/>
        <w:textAlignment w:val="auto"/>
        <w:rPr>
          <w:rFonts w:eastAsia="宋体"/>
          <w:bCs/>
          <w:lang w:val="en-US" w:eastAsia="zh-CN"/>
        </w:rPr>
      </w:pPr>
      <w:r>
        <w:rPr>
          <w:rFonts w:hint="eastAsia" w:eastAsia="宋体"/>
          <w:bCs/>
          <w:lang w:val="en-US" w:eastAsia="zh-CN"/>
        </w:rPr>
        <w:t>For inter-band CA, the pattern used in R18 ATG test cases can also be reused.</w:t>
      </w:r>
    </w:p>
    <w:p w14:paraId="19E014A6">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val="en-US" w:eastAsia="zh-CN"/>
        </w:rPr>
        <w:t>Proposal 1-2: (ZTE)</w:t>
      </w:r>
    </w:p>
    <w:p w14:paraId="4484D934">
      <w:pPr>
        <w:pStyle w:val="72"/>
        <w:numPr>
          <w:ilvl w:val="3"/>
          <w:numId w:val="1"/>
        </w:numPr>
        <w:overflowPunct/>
        <w:autoSpaceDE/>
        <w:autoSpaceDN/>
        <w:adjustRightInd/>
        <w:spacing w:after="120"/>
        <w:ind w:left="2280" w:firstLineChars="0"/>
        <w:textAlignment w:val="auto"/>
        <w:rPr>
          <w:rFonts w:eastAsia="宋体"/>
          <w:bCs/>
          <w:lang w:val="en-US" w:eastAsia="zh-CN"/>
        </w:rPr>
      </w:pPr>
      <w:r>
        <w:rPr>
          <w:rFonts w:hint="eastAsia" w:eastAsia="宋体"/>
          <w:bCs/>
          <w:lang w:val="en-US" w:eastAsia="zh-CN"/>
        </w:rPr>
        <w:t>For TDD case, the TDD pattern for SCell could be same as PCell (ZTE)</w:t>
      </w:r>
    </w:p>
    <w:p w14:paraId="378D82DF">
      <w:pPr>
        <w:pStyle w:val="72"/>
        <w:numPr>
          <w:ilvl w:val="1"/>
          <w:numId w:val="1"/>
        </w:numPr>
        <w:overflowPunct/>
        <w:autoSpaceDE/>
        <w:autoSpaceDN/>
        <w:adjustRightInd/>
        <w:spacing w:after="120"/>
        <w:ind w:left="1440" w:firstLineChars="0"/>
        <w:textAlignment w:val="auto"/>
        <w:rPr>
          <w:rFonts w:eastAsia="宋体"/>
          <w:bCs/>
          <w:lang w:val="en-US" w:eastAsia="zh-CN"/>
        </w:rPr>
      </w:pPr>
      <w:r>
        <w:rPr>
          <w:rFonts w:hint="eastAsia" w:eastAsia="宋体"/>
          <w:bCs/>
          <w:lang w:val="en-US" w:eastAsia="zh-CN"/>
        </w:rPr>
        <w:t>Proposal 2: RAN4 to discuss whether or not to define a new TDD pattern for ATG (HW)</w:t>
      </w:r>
    </w:p>
    <w:p w14:paraId="4AE27CD4">
      <w:pPr>
        <w:pStyle w:val="72"/>
        <w:numPr>
          <w:ilvl w:val="1"/>
          <w:numId w:val="1"/>
        </w:numPr>
        <w:overflowPunct/>
        <w:autoSpaceDE/>
        <w:autoSpaceDN/>
        <w:adjustRightInd/>
        <w:spacing w:after="120"/>
        <w:ind w:left="1440" w:firstLineChars="0"/>
        <w:textAlignment w:val="auto"/>
        <w:rPr>
          <w:rFonts w:eastAsia="宋体"/>
          <w:bCs/>
          <w:lang w:val="en-US" w:eastAsia="zh-CN"/>
        </w:rPr>
      </w:pPr>
      <w:r>
        <w:rPr>
          <w:rFonts w:hint="eastAsia" w:eastAsia="宋体"/>
          <w:bCs/>
          <w:lang w:val="en-US" w:eastAsia="zh-CN"/>
        </w:rPr>
        <w:t xml:space="preserve">Proposal 3: Define all </w:t>
      </w:r>
      <w:r>
        <w:rPr>
          <w:rFonts w:eastAsia="宋体"/>
          <w:bCs/>
          <w:lang w:val="en-US" w:eastAsia="zh-CN"/>
        </w:rPr>
        <w:t>‘</w:t>
      </w:r>
      <w:r>
        <w:rPr>
          <w:rFonts w:hint="eastAsia" w:eastAsia="宋体"/>
          <w:bCs/>
          <w:lang w:val="en-US" w:eastAsia="zh-CN"/>
        </w:rPr>
        <w:t>D</w:t>
      </w:r>
      <w:r>
        <w:rPr>
          <w:rFonts w:eastAsia="宋体"/>
          <w:bCs/>
          <w:lang w:val="en-US" w:eastAsia="zh-CN"/>
        </w:rPr>
        <w:t>’</w:t>
      </w:r>
      <w:r>
        <w:rPr>
          <w:rFonts w:hint="eastAsia" w:eastAsia="宋体"/>
          <w:bCs/>
          <w:lang w:val="en-US" w:eastAsia="zh-CN"/>
        </w:rPr>
        <w:t xml:space="preserve"> slot TDD pattern for ATG (Ericsson)</w:t>
      </w:r>
    </w:p>
    <w:p w14:paraId="6DDBA65B">
      <w:pPr>
        <w:rPr>
          <w:b/>
          <w:sz w:val="21"/>
          <w:szCs w:val="21"/>
          <w:u w:val="single"/>
          <w:lang w:val="en-US" w:eastAsia="zh-CN"/>
        </w:rPr>
      </w:pPr>
    </w:p>
    <w:p w14:paraId="1E89ECFE">
      <w:pPr>
        <w:rPr>
          <w:b/>
          <w:u w:val="single"/>
          <w:lang w:val="en-US" w:eastAsia="zh-CN"/>
        </w:rPr>
      </w:pPr>
      <w:r>
        <w:rPr>
          <w:rFonts w:hint="eastAsia"/>
          <w:b/>
          <w:u w:val="single"/>
          <w:lang w:val="en-US" w:eastAsia="zh-CN"/>
        </w:rPr>
        <w:t>Issue 2-1-3: Test method and scaling factor for UE with antenna array</w:t>
      </w:r>
    </w:p>
    <w:p w14:paraId="2C559089">
      <w:pPr>
        <w:rPr>
          <w:bCs/>
          <w:highlight w:val="green"/>
          <w:lang w:val="en-US" w:eastAsia="zh-CN"/>
        </w:rPr>
      </w:pPr>
      <w:r>
        <w:rPr>
          <w:rFonts w:hint="eastAsia"/>
          <w:bCs/>
          <w:highlight w:val="green"/>
          <w:lang w:val="en-US" w:eastAsia="zh-CN"/>
        </w:rPr>
        <w:t>Agreement</w:t>
      </w:r>
    </w:p>
    <w:p w14:paraId="69969D73">
      <w:pPr>
        <w:pStyle w:val="72"/>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bCs/>
          <w:lang w:val="en-US" w:eastAsia="zh-CN"/>
        </w:rPr>
        <w:t>Use conductive test method, apply scaling factor (including N1, K</w:t>
      </w:r>
      <w:r>
        <w:rPr>
          <w:rFonts w:hint="eastAsia" w:eastAsia="宋体"/>
          <w:bCs/>
          <w:vertAlign w:val="subscript"/>
          <w:lang w:val="en-US" w:eastAsia="zh-CN"/>
        </w:rPr>
        <w:t>layer1</w:t>
      </w:r>
      <w:r>
        <w:rPr>
          <w:rFonts w:hint="eastAsia" w:eastAsia="宋体"/>
          <w:bCs/>
          <w:lang w:val="en-US" w:eastAsia="zh-CN"/>
        </w:rPr>
        <w:t xml:space="preserve"> and P) = 1 for antenna array related test requirements</w:t>
      </w:r>
    </w:p>
    <w:p w14:paraId="52234222">
      <w:pPr>
        <w:pStyle w:val="72"/>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bCs/>
          <w:lang w:val="en-US" w:eastAsia="zh-CN"/>
        </w:rPr>
        <w:t>N</w:t>
      </w:r>
      <w:r>
        <w:rPr>
          <w:rFonts w:hint="eastAsia" w:eastAsia="宋体"/>
          <w:bCs/>
          <w:lang w:val="en-US" w:eastAsia="ko-KR"/>
        </w:rPr>
        <w:t>ot to consider separate test cases for ATG UE to support common Rx beam</w:t>
      </w:r>
    </w:p>
    <w:p w14:paraId="2DACE7C5">
      <w:pPr>
        <w:rPr>
          <w:b/>
          <w:u w:val="single"/>
          <w:lang w:val="en-US" w:eastAsia="zh-CN"/>
        </w:rPr>
      </w:pPr>
    </w:p>
    <w:p w14:paraId="5D444D1A">
      <w:pPr>
        <w:rPr>
          <w:b/>
          <w:u w:val="single"/>
          <w:lang w:val="en-US" w:eastAsia="zh-CN"/>
        </w:rPr>
      </w:pPr>
      <w:r>
        <w:rPr>
          <w:rFonts w:hint="eastAsia"/>
          <w:b/>
          <w:u w:val="single"/>
          <w:lang w:val="en-US" w:eastAsia="zh-CN"/>
        </w:rPr>
        <w:t>Issue 2-1-4: Test scope</w:t>
      </w:r>
    </w:p>
    <w:p w14:paraId="204EC4CD">
      <w:pPr>
        <w:rPr>
          <w:bCs/>
          <w:highlight w:val="yellow"/>
          <w:lang w:val="en-US" w:eastAsia="zh-CN"/>
        </w:rPr>
      </w:pPr>
      <w:r>
        <w:rPr>
          <w:rFonts w:hint="eastAsia"/>
          <w:bCs/>
          <w:highlight w:val="yellow"/>
          <w:lang w:val="en-US" w:eastAsia="zh-CN"/>
        </w:rPr>
        <w:t>FFS based on following summary:</w:t>
      </w:r>
    </w:p>
    <w:p w14:paraId="08E0A499">
      <w:pPr>
        <w:pStyle w:val="72"/>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In RAN4#115, following test cases supported by no less than 5 companies</w:t>
      </w:r>
    </w:p>
    <w:p w14:paraId="2D1736EF">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bCs/>
          <w:lang w:val="en-US" w:eastAsia="zh-CN"/>
        </w:rPr>
        <w:t>Interruptions during measurements on deactivated NR SCC in FR1</w:t>
      </w:r>
    </w:p>
    <w:p w14:paraId="6EA32EE3">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Interruption requirement at SRS antenna port switching with 1 SRS symbol in a slot</w:t>
      </w:r>
    </w:p>
    <w:p w14:paraId="054A9FEC">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Interruption requirement at SRS antenna port switching with more than 1 SRS symbol in a slot</w:t>
      </w:r>
    </w:p>
    <w:p w14:paraId="1AE5D21D">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SCell Activation and deactivation of known SCell in FR1 in non-DRX for 160 ms SCell measurement cycle</w:t>
      </w:r>
      <w:r>
        <w:rPr>
          <w:rFonts w:hint="eastAsia" w:eastAsia="宋体"/>
          <w:szCs w:val="24"/>
          <w:lang w:val="en-US" w:eastAsia="zh-CN"/>
        </w:rPr>
        <w:t xml:space="preserve"> (together with interruption requirement verification)</w:t>
      </w:r>
    </w:p>
    <w:p w14:paraId="7DBA70E8">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SCell Activation and deactivation of known SCell in FR1 in non-DRX for 640 ms SCell measurement cycle</w:t>
      </w:r>
      <w:r>
        <w:rPr>
          <w:rFonts w:hint="eastAsia" w:eastAsia="宋体"/>
          <w:szCs w:val="24"/>
          <w:lang w:val="en-US" w:eastAsia="zh-CN"/>
        </w:rPr>
        <w:t xml:space="preserve"> (together with interruption requirement verification)</w:t>
      </w:r>
    </w:p>
    <w:p w14:paraId="748A7455">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SCell Activation and deactivation of unknown SCell in FR1 in non-DRX</w:t>
      </w:r>
      <w:r>
        <w:rPr>
          <w:rFonts w:hint="eastAsia" w:eastAsia="宋体"/>
          <w:szCs w:val="24"/>
          <w:lang w:val="en-US" w:eastAsia="zh-CN"/>
        </w:rPr>
        <w:t xml:space="preserve"> (together with interruption requirement verification) </w:t>
      </w:r>
    </w:p>
    <w:p w14:paraId="7E9DCB0C">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Direct SCell activation at SCell addition of known SCell in FR1</w:t>
      </w:r>
      <w:r>
        <w:rPr>
          <w:rFonts w:hint="eastAsia" w:eastAsia="宋体"/>
          <w:szCs w:val="24"/>
          <w:lang w:val="en-US" w:eastAsia="zh-CN"/>
        </w:rPr>
        <w:t xml:space="preserve"> (together with interruption requirement verification)</w:t>
      </w:r>
    </w:p>
    <w:p w14:paraId="06839A67">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Fast SCell Activation of known SCell in FR1 in non-DRX for 160 ms SCell measurement cycle</w:t>
      </w:r>
      <w:r>
        <w:rPr>
          <w:rFonts w:hint="eastAsia" w:eastAsia="宋体"/>
          <w:szCs w:val="24"/>
          <w:lang w:val="en-US" w:eastAsia="zh-CN"/>
        </w:rPr>
        <w:t xml:space="preserve"> (together with interruption requirement verification)</w:t>
      </w:r>
    </w:p>
    <w:p w14:paraId="01C70B75">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Fast SCell Activation of known SCell in FR1 in non-DRX for 640 ms SCell measurement cycle</w:t>
      </w:r>
      <w:r>
        <w:rPr>
          <w:rFonts w:hint="eastAsia" w:eastAsia="宋体"/>
          <w:szCs w:val="24"/>
          <w:lang w:val="en-US" w:eastAsia="zh-CN"/>
        </w:rPr>
        <w:t xml:space="preserve"> (together with interruption requirement verification)</w:t>
      </w:r>
    </w:p>
    <w:p w14:paraId="4C0F3728">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SCell Activation of unknown SCell with valid L3 measurement results in FR1 in non-DRX for 160 ms SCell measurement cycle</w:t>
      </w:r>
      <w:r>
        <w:rPr>
          <w:rFonts w:hint="eastAsia" w:eastAsia="宋体"/>
          <w:szCs w:val="24"/>
          <w:lang w:val="en-US" w:eastAsia="zh-CN"/>
        </w:rPr>
        <w:t xml:space="preserve"> (together with interruption requirement verification)</w:t>
      </w:r>
    </w:p>
    <w:p w14:paraId="7EC3E773">
      <w:pPr>
        <w:pStyle w:val="72"/>
        <w:numPr>
          <w:ilvl w:val="1"/>
          <w:numId w:val="1"/>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In RAN4#115, no supporting company for following test cases</w:t>
      </w:r>
    </w:p>
    <w:p w14:paraId="3C932987">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Direct SCell Activation at RRC Resume</w:t>
      </w:r>
    </w:p>
    <w:p w14:paraId="74ACF888">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non-simultaneous Timer based BWP switch delay on multiple CCs</w:t>
      </w:r>
    </w:p>
    <w:p w14:paraId="2AC7671A">
      <w:pPr>
        <w:pStyle w:val="72"/>
        <w:numPr>
          <w:ilvl w:val="1"/>
          <w:numId w:val="1"/>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In RAN4#115, 1-4 supporting companies for following test cases</w:t>
      </w:r>
    </w:p>
    <w:p w14:paraId="3ECB274A">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bCs/>
          <w:lang w:val="en-US" w:eastAsia="zh-CN"/>
        </w:rPr>
        <w:t>Direct SCell activation at handover with known SCell in FR1</w:t>
      </w:r>
    </w:p>
    <w:p w14:paraId="12AF095E">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TRS based SCell Activation of SSB-less SCell in FR1 inter-band CA in non-DRX</w:t>
      </w:r>
    </w:p>
    <w:p w14:paraId="60071990">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Inter-band SSB-less SCell Activation based on A-TRS</w:t>
      </w:r>
    </w:p>
    <w:p w14:paraId="0B6C8EEB">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Beam Failure Detection and Link Recovery Test for FR1 SCell configured with CSI-RS-based BFD and SSB-based LR in non-DRX mode for ATG</w:t>
      </w:r>
    </w:p>
    <w:p w14:paraId="5EB38C89">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Beam Failure Detection and Link Recovery Test for FR1 PCell configured with CSI-RS-based BFD and LR in non-DRX mode</w:t>
      </w:r>
    </w:p>
    <w:p w14:paraId="29234255">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Simultaneous DCI-based and Timer-based Active BWP Switch on multiple CCs</w:t>
      </w:r>
    </w:p>
    <w:p w14:paraId="48B47332">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Simultaneous RRC-based Active BWP Switch on multiple CCs</w:t>
      </w:r>
    </w:p>
    <w:p w14:paraId="4DB42778">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SCell dormancy switch</w:t>
      </w:r>
    </w:p>
    <w:p w14:paraId="135B0C6D">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Event triggered reporting on SCC with deactivated SCell test under non-DRX</w:t>
      </w:r>
    </w:p>
    <w:p w14:paraId="26F85F4E">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 xml:space="preserve">Test case for Pre-configured measurement gap requirement </w:t>
      </w:r>
    </w:p>
    <w:p w14:paraId="216D0589">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Intra-frequency measurement(with scheduling restriction verified as well)</w:t>
      </w:r>
    </w:p>
    <w:p w14:paraId="6E7A1635">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Inter-frequency measurement(with scheduling restriction verified as well)</w:t>
      </w:r>
    </w:p>
    <w:p w14:paraId="5CB2ED5B">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L1-RSRP measurement</w:t>
      </w:r>
    </w:p>
    <w:p w14:paraId="5748B0DF">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CSI-RS based intra and inter frequency Measurements for event-triggered reporting tests without gap under non-DRX</w:t>
      </w:r>
    </w:p>
    <w:p w14:paraId="1AB63BAC">
      <w:pPr>
        <w:pStyle w:val="72"/>
        <w:numPr>
          <w:ilvl w:val="2"/>
          <w:numId w:val="1"/>
        </w:numPr>
        <w:overflowPunct/>
        <w:autoSpaceDE/>
        <w:autoSpaceDN/>
        <w:adjustRightInd/>
        <w:spacing w:after="120"/>
        <w:ind w:left="1860" w:firstLineChars="0"/>
        <w:textAlignment w:val="auto"/>
        <w:rPr>
          <w:rFonts w:eastAsia="宋体"/>
          <w:szCs w:val="24"/>
          <w:lang w:eastAsia="zh-CN"/>
        </w:rPr>
      </w:pPr>
      <w:r>
        <w:rPr>
          <w:rFonts w:hint="eastAsia" w:eastAsia="宋体"/>
          <w:szCs w:val="24"/>
          <w:lang w:eastAsia="zh-CN"/>
        </w:rPr>
        <w:t>The interruption of SCell addition/release</w:t>
      </w:r>
    </w:p>
    <w:p w14:paraId="5C1BF519">
      <w:pPr>
        <w:rPr>
          <w:b/>
          <w:u w:val="single"/>
          <w:lang w:val="en-US" w:eastAsia="zh-CN"/>
        </w:rPr>
      </w:pPr>
    </w:p>
    <w:p w14:paraId="3796A217">
      <w:pPr>
        <w:rPr>
          <w:b/>
          <w:u w:val="single"/>
          <w:lang w:val="en-US" w:eastAsia="zh-CN"/>
        </w:rPr>
      </w:pPr>
      <w:r>
        <w:rPr>
          <w:rFonts w:hint="eastAsia"/>
          <w:b/>
          <w:u w:val="single"/>
          <w:lang w:val="en-US" w:eastAsia="zh-CN"/>
        </w:rPr>
        <w:t>Issue 2-1-5: Detail test configuration and test procedure</w:t>
      </w:r>
    </w:p>
    <w:p w14:paraId="28D51650">
      <w:pPr>
        <w:pStyle w:val="72"/>
        <w:numPr>
          <w:ilvl w:val="0"/>
          <w:numId w:val="1"/>
        </w:numPr>
        <w:overflowPunct/>
        <w:autoSpaceDE/>
        <w:autoSpaceDN/>
        <w:adjustRightInd/>
        <w:spacing w:after="120"/>
        <w:ind w:left="720" w:firstLineChars="0"/>
        <w:textAlignment w:val="auto"/>
        <w:rPr>
          <w:rFonts w:eastAsia="宋体"/>
          <w:b/>
          <w:bCs/>
          <w:szCs w:val="24"/>
          <w:lang w:eastAsia="zh-CN"/>
        </w:rPr>
      </w:pPr>
      <w:r>
        <w:rPr>
          <w:rFonts w:eastAsia="宋体"/>
          <w:b/>
          <w:bCs/>
          <w:szCs w:val="24"/>
          <w:lang w:eastAsia="zh-CN"/>
        </w:rPr>
        <w:t>Proposals</w:t>
      </w:r>
    </w:p>
    <w:p w14:paraId="11C5B942">
      <w:pPr>
        <w:pStyle w:val="72"/>
        <w:numPr>
          <w:ilvl w:val="1"/>
          <w:numId w:val="1"/>
        </w:numPr>
        <w:overflowPunct/>
        <w:autoSpaceDE/>
        <w:autoSpaceDN/>
        <w:adjustRightInd/>
        <w:spacing w:after="120"/>
        <w:ind w:left="1440" w:firstLineChars="0"/>
        <w:textAlignment w:val="auto"/>
        <w:rPr>
          <w:rFonts w:eastAsia="宋体"/>
          <w:szCs w:val="24"/>
          <w:lang w:val="en-US" w:eastAsia="zh-CN"/>
        </w:rPr>
      </w:pPr>
      <w:r>
        <w:rPr>
          <w:rFonts w:hint="eastAsia" w:eastAsia="宋体"/>
          <w:szCs w:val="24"/>
          <w:lang w:val="en-US" w:eastAsia="zh-CN"/>
        </w:rPr>
        <w:t xml:space="preserve">Proposal </w:t>
      </w:r>
      <w:r>
        <w:rPr>
          <w:rFonts w:eastAsia="宋体"/>
          <w:szCs w:val="24"/>
          <w:lang w:val="en-US" w:eastAsia="zh-CN"/>
        </w:rPr>
        <w:t>1</w:t>
      </w:r>
      <w:r>
        <w:rPr>
          <w:rFonts w:hint="eastAsia" w:eastAsia="宋体"/>
          <w:szCs w:val="24"/>
          <w:lang w:val="en-US" w:eastAsia="zh-CN"/>
        </w:rPr>
        <w:t xml:space="preserve">: </w:t>
      </w:r>
    </w:p>
    <w:p w14:paraId="6960C34F">
      <w:pPr>
        <w:pStyle w:val="72"/>
        <w:numPr>
          <w:ilvl w:val="2"/>
          <w:numId w:val="1"/>
        </w:numPr>
        <w:overflowPunct/>
        <w:autoSpaceDE/>
        <w:autoSpaceDN/>
        <w:adjustRightInd/>
        <w:spacing w:after="120"/>
        <w:ind w:left="1860" w:firstLineChars="0"/>
        <w:textAlignment w:val="auto"/>
        <w:rPr>
          <w:b/>
          <w:u w:val="single"/>
          <w:lang w:val="en-US" w:eastAsia="zh-CN"/>
        </w:rPr>
      </w:pPr>
      <w:r>
        <w:rPr>
          <w:rFonts w:hint="eastAsia" w:eastAsia="宋体"/>
          <w:bCs/>
          <w:lang w:val="en-US" w:eastAsia="zh-CN"/>
        </w:rPr>
        <w:t>If the ‘deactivated SCell measurement with measCycleSCell larger than 640ms’ test case will be introduced eventually, then verify the UE interruption performance on deactivated SCC measurement together in ‘deactivated SCell measurement’ test. Otherwise, introduce a separate interruption test case</w:t>
      </w:r>
    </w:p>
    <w:p w14:paraId="40319F97">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val="en-US" w:eastAsia="zh-CN"/>
        </w:rPr>
        <w:t xml:space="preserve">For the test </w:t>
      </w:r>
      <w:r>
        <w:rPr>
          <w:rFonts w:eastAsia="宋体"/>
          <w:bCs/>
          <w:lang w:val="en-US" w:eastAsia="zh-CN"/>
        </w:rPr>
        <w:t>‘Simultaneous DCI-based and Timer-based Active BWP Switch on multiple CCs’</w:t>
      </w:r>
      <w:r>
        <w:rPr>
          <w:rFonts w:hint="eastAsia" w:eastAsia="宋体"/>
          <w:bCs/>
          <w:lang w:val="en-US" w:eastAsia="zh-CN"/>
        </w:rPr>
        <w:t>, one PCell and one SCell shall be configured, and BWP switching happens on PCell and SCell simultaneously.</w:t>
      </w:r>
    </w:p>
    <w:p w14:paraId="4AC4414A">
      <w:pPr>
        <w:pStyle w:val="72"/>
        <w:numPr>
          <w:ilvl w:val="1"/>
          <w:numId w:val="1"/>
        </w:numPr>
        <w:overflowPunct/>
        <w:autoSpaceDE/>
        <w:autoSpaceDN/>
        <w:adjustRightInd/>
        <w:spacing w:after="120"/>
        <w:ind w:left="1440" w:firstLineChars="0"/>
        <w:textAlignment w:val="auto"/>
        <w:rPr>
          <w:rFonts w:eastAsia="宋体"/>
          <w:bCs/>
          <w:lang w:val="en-US" w:eastAsia="zh-CN"/>
        </w:rPr>
      </w:pPr>
      <w:r>
        <w:rPr>
          <w:rFonts w:hint="eastAsia" w:eastAsia="宋体"/>
          <w:bCs/>
          <w:lang w:val="en-US" w:eastAsia="zh-CN"/>
        </w:rPr>
        <w:t>Proposal 2:</w:t>
      </w:r>
    </w:p>
    <w:p w14:paraId="6609A120">
      <w:pPr>
        <w:pStyle w:val="72"/>
        <w:numPr>
          <w:ilvl w:val="2"/>
          <w:numId w:val="1"/>
        </w:numPr>
        <w:overflowPunct/>
        <w:autoSpaceDE/>
        <w:autoSpaceDN/>
        <w:adjustRightInd/>
        <w:spacing w:after="120"/>
        <w:ind w:left="1860" w:firstLineChars="0"/>
        <w:textAlignment w:val="auto"/>
        <w:rPr>
          <w:rFonts w:eastAsia="宋体"/>
          <w:bCs/>
          <w:lang w:val="en-US" w:eastAsia="zh-CN"/>
        </w:rPr>
      </w:pPr>
      <w:r>
        <w:rPr>
          <w:rFonts w:hint="eastAsia" w:eastAsia="宋体"/>
          <w:bCs/>
          <w:lang w:eastAsia="zh-CN"/>
        </w:rPr>
        <w:t>Inter-band SSB-less SCell Activation test cases should be restricted to ATG UE explicitly supporting [Case 4 capability]</w:t>
      </w:r>
    </w:p>
    <w:p w14:paraId="1A774263">
      <w:pPr>
        <w:rPr>
          <w:b/>
          <w:u w:val="single"/>
          <w:lang w:eastAsia="zh-CN"/>
        </w:rPr>
      </w:pPr>
    </w:p>
    <w:sectPr>
      <w:footnotePr>
        <w:numRestart w:val="eachSect"/>
      </w:footnotePr>
      <w:pgSz w:w="11907" w:h="16840"/>
      <w:pgMar w:top="720" w:right="720" w:bottom="720" w:left="720" w:header="680" w:footer="567" w:gutter="0"/>
      <w:cols w:space="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linkStyles/>
  <w:attachedTemplate r:id="rId1"/>
  <w:documentProtection w:enforcement="0"/>
  <w:defaultTabStop w:val="420"/>
  <w:drawingGridHorizontalSpacing w:val="10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CC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AC7"/>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2E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DF4"/>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3B4"/>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0DB1"/>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1E0"/>
    <w:rsid w:val="001A0665"/>
    <w:rsid w:val="001A1C89"/>
    <w:rsid w:val="001A2689"/>
    <w:rsid w:val="001A32ED"/>
    <w:rsid w:val="001A3878"/>
    <w:rsid w:val="001A4100"/>
    <w:rsid w:val="001A49E4"/>
    <w:rsid w:val="001A4FA5"/>
    <w:rsid w:val="001A5C51"/>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4ECC"/>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AA9"/>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1E"/>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36E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CF"/>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B56"/>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2F6"/>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779F4"/>
    <w:rsid w:val="00680281"/>
    <w:rsid w:val="006803D1"/>
    <w:rsid w:val="00680548"/>
    <w:rsid w:val="0068129F"/>
    <w:rsid w:val="0068254F"/>
    <w:rsid w:val="0068289E"/>
    <w:rsid w:val="00682E4B"/>
    <w:rsid w:val="00683043"/>
    <w:rsid w:val="0068348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284"/>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D13"/>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301"/>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325"/>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ACA"/>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5DC2"/>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CEB"/>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5321"/>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65AE"/>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3A7"/>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387"/>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E26"/>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190"/>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EFD"/>
    <w:rsid w:val="00E53C9F"/>
    <w:rsid w:val="00E542F5"/>
    <w:rsid w:val="00E54346"/>
    <w:rsid w:val="00E54C27"/>
    <w:rsid w:val="00E5607F"/>
    <w:rsid w:val="00E56689"/>
    <w:rsid w:val="00E56B28"/>
    <w:rsid w:val="00E56EC6"/>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349"/>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1FF"/>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FA7"/>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4BF6"/>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5F0D"/>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5EF3EA8"/>
    <w:rsid w:val="066478E0"/>
    <w:rsid w:val="076E5199"/>
    <w:rsid w:val="08036534"/>
    <w:rsid w:val="09575F33"/>
    <w:rsid w:val="127C6D88"/>
    <w:rsid w:val="143E502C"/>
    <w:rsid w:val="16194085"/>
    <w:rsid w:val="18D42CAA"/>
    <w:rsid w:val="198432E8"/>
    <w:rsid w:val="1CBB1BB0"/>
    <w:rsid w:val="1D777F86"/>
    <w:rsid w:val="1E452485"/>
    <w:rsid w:val="1F17751E"/>
    <w:rsid w:val="1F8E3470"/>
    <w:rsid w:val="21F046BC"/>
    <w:rsid w:val="25F93F73"/>
    <w:rsid w:val="262D4A31"/>
    <w:rsid w:val="2AF37FE9"/>
    <w:rsid w:val="2B09789B"/>
    <w:rsid w:val="2BC55573"/>
    <w:rsid w:val="2BD66B3D"/>
    <w:rsid w:val="2D715F5C"/>
    <w:rsid w:val="356362F6"/>
    <w:rsid w:val="363870C8"/>
    <w:rsid w:val="37160E14"/>
    <w:rsid w:val="37FA6736"/>
    <w:rsid w:val="39D671D7"/>
    <w:rsid w:val="3C15296F"/>
    <w:rsid w:val="3D1C31D0"/>
    <w:rsid w:val="3ECD11AB"/>
    <w:rsid w:val="3F2B4883"/>
    <w:rsid w:val="401E1095"/>
    <w:rsid w:val="41D67276"/>
    <w:rsid w:val="42A61C74"/>
    <w:rsid w:val="42E9170E"/>
    <w:rsid w:val="43BD7978"/>
    <w:rsid w:val="44345155"/>
    <w:rsid w:val="448E4BC9"/>
    <w:rsid w:val="448F6B3A"/>
    <w:rsid w:val="45227AF8"/>
    <w:rsid w:val="454D3C30"/>
    <w:rsid w:val="458D1B72"/>
    <w:rsid w:val="4789254C"/>
    <w:rsid w:val="4B725A41"/>
    <w:rsid w:val="4BE82A4F"/>
    <w:rsid w:val="4C510188"/>
    <w:rsid w:val="4C6C4F33"/>
    <w:rsid w:val="4C8D6D3F"/>
    <w:rsid w:val="4CBA32E1"/>
    <w:rsid w:val="4D1959C1"/>
    <w:rsid w:val="4F5E791D"/>
    <w:rsid w:val="4FBD263B"/>
    <w:rsid w:val="55E6360E"/>
    <w:rsid w:val="57D07432"/>
    <w:rsid w:val="5C2B7C22"/>
    <w:rsid w:val="5CB839E2"/>
    <w:rsid w:val="5E4A20CD"/>
    <w:rsid w:val="5EAD270C"/>
    <w:rsid w:val="609820D2"/>
    <w:rsid w:val="64230B55"/>
    <w:rsid w:val="64D608B5"/>
    <w:rsid w:val="660A444F"/>
    <w:rsid w:val="66BF6EA0"/>
    <w:rsid w:val="66E6541B"/>
    <w:rsid w:val="68024046"/>
    <w:rsid w:val="69AF145F"/>
    <w:rsid w:val="6AD273B5"/>
    <w:rsid w:val="70D26B0C"/>
    <w:rsid w:val="70E40553"/>
    <w:rsid w:val="72115020"/>
    <w:rsid w:val="72651D84"/>
    <w:rsid w:val="72AF4DA6"/>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qFormat/>
    <w:uiPriority w:val="99"/>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basedOn w:val="1"/>
    <w:link w:val="69"/>
    <w:qFormat/>
    <w:uiPriority w:val="0"/>
    <w:pPr>
      <w:widowControl w:val="0"/>
    </w:pPr>
    <w:rPr>
      <w:rFonts w:ascii="Arial" w:hAnsi="Arial"/>
      <w:b/>
      <w:sz w:val="18"/>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link w:val="103"/>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character" w:customStyle="1" w:styleId="103">
    <w:name w:val="List Paragraph Char"/>
    <w:link w:val="72"/>
    <w:qFormat/>
    <w:locked/>
    <w:uiPriority w:val="34"/>
    <w:rPr>
      <w:rFonts w:ascii="Times New Roman" w:hAnsi="Times New Roman" w:eastAsia="Times New Roman"/>
      <w:lang w:val="en-GB" w:eastAsia="en-GB" w:bidi="ar-SA"/>
    </w:rPr>
  </w:style>
  <w:style w:type="paragraph" w:customStyle="1" w:styleId="104">
    <w:name w:val="Revision1"/>
    <w:hidden/>
    <w:unhideWhenUsed/>
    <w:qFormat/>
    <w:uiPriority w:val="99"/>
    <w:rPr>
      <w:rFonts w:ascii="Times New Roman" w:hAnsi="Times New Roman" w:eastAsia="Times New Roman" w:cs="Times New Roman"/>
      <w:lang w:val="en-GB" w:eastAsia="en-GB" w:bidi="ar-SA"/>
    </w:rPr>
  </w:style>
  <w:style w:type="paragraph" w:customStyle="1" w:styleId="105">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6</Pages>
  <Words>1965</Words>
  <Characters>10379</Characters>
  <Lines>288</Lines>
  <Paragraphs>192</Paragraphs>
  <TotalTime>1</TotalTime>
  <ScaleCrop>false</ScaleCrop>
  <LinksUpToDate>false</LinksUpToDate>
  <CharactersWithSpaces>12152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2025-05-22T12:58:00Z</dcterms:created>
  <dc:creator>Dai Xizeng</dc:creator>
  <cp:lastModifiedBy>CMCC-shiyuan-0520</cp:lastModifiedBy>
  <dcterms:modified xsi:type="dcterms:W3CDTF">2025-05-23T07:05:37Z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2052-12.8.2.18205</vt:lpwstr>
  </property>
  <property fmtid="{D5CDD505-2E9C-101B-9397-08002B2CF9AE}" pid="15" name="ICV">
    <vt:lpwstr>633DFDB7C5CE4ABEA70C69A11FBF1825</vt:lpwstr>
  </property>
  <property fmtid="{D5CDD505-2E9C-101B-9397-08002B2CF9AE}" pid="16" name="GrammarlyDocumentId">
    <vt:lpwstr>0129d330-1caa-4f33-a852-2eb03b9a6e97</vt:lpwstr>
  </property>
</Properties>
</file>